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reforçar ações para participação popular no Conselho Municipal de Política Cultural de Niterói (CMPCN)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Reforçar ações para participação popular no Conselho Municipal de Política Cultural de Niterói (CMPCN)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Reforçar ações para participação popular no Conselho Municipal de Política Cultural de Niterói (CMPCN)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Ações para fortalecer a participação popular no Conselho promovendo a transparência e assegurando que as políticas adotadas reflitam as necessidades reais da comunidade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15.452 0147.6104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28.484.543,34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28.384.543,34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Considerando que o conselho é composto por 15 câmaras setoriais, o valor dessa emenda é destinado para ações de reforço à participação popular no conselho e na conferência de cultura.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