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9"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line="259" w:lineRule="auto"/>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line="259"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 ação Implementação de políticas públicas de valorização da cultura da Região Oceânica no Projeto de Lei nº 193/2023.</w:t>
      </w:r>
    </w:p>
    <w:p w:rsidR="00000000" w:rsidDel="00000000" w:rsidP="00000000" w:rsidRDefault="00000000" w:rsidRPr="00000000" w14:paraId="00000004">
      <w:pPr>
        <w:spacing w:line="259"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5">
      <w:pPr>
        <w:spacing w:after="120" w:line="259"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24"/>
          <w:szCs w:val="24"/>
          <w:rtl w:val="0"/>
        </w:rPr>
        <w:t xml:space="preserve"> Fica adicionada ação orçamentária Implementação de políticas públicas de valorização da cultura da Região Oceânica ao Projeto de Lei Nº 193/ 2023, conforme tabela abaixo:</w:t>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6">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7">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136 - Cultura é um Direito</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line="259"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24"/>
                <w:szCs w:val="24"/>
                <w:rtl w:val="0"/>
              </w:rPr>
              <w:t xml:space="preserve">Implementação de políticas públicas de valorização da cultura da Região Oceânica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1">
            <w:pPr>
              <w:spacing w:line="24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Incentivo do Poder Público ao setor cultural e no fomento de políticas públicas culturais para a Região Oceânica garantindo que a mesma possa consumir de sua própria cultura.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5">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UNIDADE ORÇAMENTÁRIA </w:t>
            </w:r>
            <w:r w:rsidDel="00000000" w:rsidR="00000000" w:rsidRPr="00000000">
              <w:rPr>
                <w:rFonts w:ascii="Calibri" w:cs="Calibri" w:eastAsia="Calibri" w:hAnsi="Calibri"/>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6">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41.01 - Secretaria das Culturas</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8">
            <w:pPr>
              <w:spacing w:line="240" w:lineRule="auto"/>
              <w:rPr>
                <w:rFonts w:ascii="Calibri" w:cs="Calibri" w:eastAsia="Calibri" w:hAnsi="Calibri"/>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9">
            <w:pPr>
              <w:spacing w:line="240" w:lineRule="auto"/>
              <w:rPr>
                <w:rFonts w:ascii="Calibri" w:cs="Calibri" w:eastAsia="Calibri" w:hAnsi="Calibri"/>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A">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FUNÇÃO </w:t>
            </w:r>
            <w:r w:rsidDel="00000000" w:rsidR="00000000" w:rsidRPr="00000000">
              <w:rPr>
                <w:rFonts w:ascii="Calibri" w:cs="Calibri" w:eastAsia="Calibri" w:hAnsi="Calibri"/>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B">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13 - Cultura</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SUBFUNÇÃO </w:t>
            </w:r>
            <w:r w:rsidDel="00000000" w:rsidR="00000000" w:rsidRPr="00000000">
              <w:rPr>
                <w:rFonts w:ascii="Calibri" w:cs="Calibri" w:eastAsia="Calibri" w:hAnsi="Calibri"/>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392 - Dif. Cultural</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1F">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4">
            <w:pPr>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6">
            <w:pPr>
              <w:spacing w:line="240" w:lineRule="auto"/>
              <w:rPr>
                <w:rFonts w:ascii="Calibri" w:cs="Calibri" w:eastAsia="Calibri" w:hAnsi="Calibri"/>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7">
            <w:pPr>
              <w:spacing w:line="240" w:lineRule="auto"/>
              <w:jc w:val="center"/>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029">
      <w:pPr>
        <w:spacing w:after="120" w:line="259"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A">
      <w:pPr>
        <w:spacing w:after="12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B">
            <w:pPr>
              <w:spacing w:line="240" w:lineRule="auto"/>
              <w:rPr>
                <w:rFonts w:ascii="Calibri" w:cs="Calibri" w:eastAsia="Calibri" w:hAnsi="Calibri"/>
                <w:b w:val="1"/>
                <w:sz w:val="18"/>
                <w:szCs w:val="18"/>
              </w:rPr>
            </w:pPr>
            <w:bookmarkStart w:colFirst="0" w:colLast="0" w:name="_gjdgxs" w:id="0"/>
            <w:bookmarkEnd w:id="0"/>
            <w:r w:rsidDel="00000000" w:rsidR="00000000" w:rsidRPr="00000000">
              <w:rPr>
                <w:rFonts w:ascii="Calibri" w:cs="Calibri" w:eastAsia="Calibri" w:hAnsi="Calibri"/>
                <w:b w:val="1"/>
                <w:sz w:val="18"/>
                <w:szCs w:val="18"/>
                <w:rtl w:val="0"/>
              </w:rPr>
              <w:t xml:space="preserve">ÓRGÃO/UNIDADE ORÇAMENTÁRIA </w:t>
            </w:r>
            <w:r w:rsidDel="00000000" w:rsidR="00000000" w:rsidRPr="00000000">
              <w:rPr>
                <w:rFonts w:ascii="Calibri" w:cs="Calibri" w:eastAsia="Calibri" w:hAnsi="Calibri"/>
                <w:sz w:val="18"/>
                <w:szCs w:val="18"/>
                <w:rtl w:val="0"/>
              </w:rPr>
              <w:t xml:space="preserve"> </w:t>
            </w:r>
            <w:r w:rsidDel="00000000" w:rsidR="00000000" w:rsidRPr="00000000">
              <w:rPr>
                <w:rtl w:val="0"/>
              </w:rPr>
            </w:r>
          </w:p>
        </w:tc>
        <w:tc>
          <w:tcPr>
            <w:tcBorders>
              <w:top w:color="cccccc" w:space="0" w:sz="6" w:val="single"/>
              <w:left w:color="000000"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2C">
            <w:pPr>
              <w:widowControl w:val="0"/>
              <w:rPr>
                <w:sz w:val="20"/>
                <w:szCs w:val="20"/>
              </w:rPr>
            </w:pPr>
            <w:r w:rsidDel="00000000" w:rsidR="00000000" w:rsidRPr="00000000">
              <w:rPr>
                <w:rFonts w:ascii="Times New Roman" w:cs="Times New Roman" w:eastAsia="Times New Roman" w:hAnsi="Times New Roman"/>
                <w:sz w:val="24"/>
                <w:szCs w:val="24"/>
                <w:rtl w:val="0"/>
              </w:rPr>
              <w:t xml:space="preserve">26.01</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FUNCIONAL PROGRAMÁTICA (PROGRAMA DE TRABALHO)</w:t>
            </w:r>
          </w:p>
        </w:tc>
        <w:tc>
          <w:tcPr>
            <w:tcBorders>
              <w:top w:color="cccccc" w:space="0" w:sz="6" w:val="single"/>
              <w:left w:color="000000"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2E">
            <w:pPr>
              <w:widowControl w:val="0"/>
              <w:rPr>
                <w:sz w:val="20"/>
                <w:szCs w:val="20"/>
              </w:rPr>
            </w:pPr>
            <w:r w:rsidDel="00000000" w:rsidR="00000000" w:rsidRPr="00000000">
              <w:rPr>
                <w:rFonts w:ascii="Times New Roman" w:cs="Times New Roman" w:eastAsia="Times New Roman" w:hAnsi="Times New Roman"/>
                <w:sz w:val="24"/>
                <w:szCs w:val="24"/>
                <w:rtl w:val="0"/>
              </w:rPr>
              <w:t xml:space="preserve">15.452 0010.4181</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2F">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META FINANCEIRA PLOA 2024</w:t>
            </w:r>
            <w:r w:rsidDel="00000000" w:rsidR="00000000" w:rsidRPr="00000000">
              <w:rPr>
                <w:rtl w:val="0"/>
              </w:rPr>
            </w:r>
          </w:p>
        </w:tc>
        <w:tc>
          <w:tcPr>
            <w:tcBorders>
              <w:top w:color="cccccc" w:space="0" w:sz="6" w:val="single"/>
              <w:left w:color="000000"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0">
            <w:pPr>
              <w:widowControl w:val="0"/>
              <w:rPr>
                <w:sz w:val="20"/>
                <w:szCs w:val="20"/>
              </w:rPr>
            </w:pPr>
            <w:r w:rsidDel="00000000" w:rsidR="00000000" w:rsidRPr="00000000">
              <w:rPr>
                <w:rFonts w:ascii="Times New Roman" w:cs="Times New Roman" w:eastAsia="Times New Roman" w:hAnsi="Times New Roman"/>
                <w:sz w:val="24"/>
                <w:szCs w:val="24"/>
                <w:rtl w:val="0"/>
              </w:rPr>
              <w:t xml:space="preserve">14.520.788,64</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VALOR PROPOSTO PARA COMPENSAÇÃO NA EMENDA</w:t>
            </w:r>
          </w:p>
        </w:tc>
        <w:tc>
          <w:tcPr>
            <w:tcBorders>
              <w:top w:color="cccccc" w:space="0" w:sz="6" w:val="single"/>
              <w:left w:color="000000"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2">
            <w:pPr>
              <w:widowControl w:val="0"/>
              <w:rPr>
                <w:sz w:val="20"/>
                <w:szCs w:val="20"/>
              </w:rPr>
            </w:pPr>
            <w:r w:rsidDel="00000000" w:rsidR="00000000" w:rsidRPr="00000000">
              <w:rPr>
                <w:rFonts w:ascii="Times New Roman" w:cs="Times New Roman" w:eastAsia="Times New Roman" w:hAnsi="Times New Roman"/>
                <w:sz w:val="24"/>
                <w:szCs w:val="24"/>
                <w:rtl w:val="0"/>
              </w:rPr>
              <w:t xml:space="preserve">500.000</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VALOR FINAL PROPOSTO</w:t>
            </w:r>
          </w:p>
        </w:tc>
        <w:tc>
          <w:tcPr>
            <w:tcBorders>
              <w:top w:color="cccccc" w:space="0" w:sz="6" w:val="single"/>
              <w:left w:color="000000"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4">
            <w:pPr>
              <w:widowControl w:val="0"/>
              <w:rPr>
                <w:sz w:val="20"/>
                <w:szCs w:val="20"/>
              </w:rPr>
            </w:pPr>
            <w:r w:rsidDel="00000000" w:rsidR="00000000" w:rsidRPr="00000000">
              <w:rPr>
                <w:rFonts w:ascii="Times New Roman" w:cs="Times New Roman" w:eastAsia="Times New Roman" w:hAnsi="Times New Roman"/>
                <w:sz w:val="24"/>
                <w:szCs w:val="24"/>
                <w:rtl w:val="0"/>
              </w:rPr>
              <w:t xml:space="preserve">14.020.788,64</w:t>
            </w:r>
            <w:r w:rsidDel="00000000" w:rsidR="00000000" w:rsidRPr="00000000">
              <w:rPr>
                <w:rtl w:val="0"/>
              </w:rPr>
            </w:r>
          </w:p>
        </w:tc>
      </w:tr>
    </w:tbl>
    <w:p w:rsidR="00000000" w:rsidDel="00000000" w:rsidP="00000000" w:rsidRDefault="00000000" w:rsidRPr="00000000" w14:paraId="00000035">
      <w:pPr>
        <w:spacing w:after="120" w:line="259"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6">
      <w:pPr>
        <w:spacing w:after="120" w:line="259"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29 de novembro de 2023.</w:t>
      </w:r>
    </w:p>
    <w:p w:rsidR="00000000" w:rsidDel="00000000" w:rsidP="00000000" w:rsidRDefault="00000000" w:rsidRPr="00000000" w14:paraId="00000037">
      <w:pPr>
        <w:spacing w:after="120" w:line="259"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8">
      <w:pPr>
        <w:spacing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Leonardo Giordano</w:t>
      </w:r>
    </w:p>
    <w:p w:rsidR="00000000" w:rsidDel="00000000" w:rsidP="00000000" w:rsidRDefault="00000000" w:rsidRPr="00000000" w14:paraId="00000039">
      <w:pPr>
        <w:spacing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A">
      <w:pPr>
        <w:spacing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3B">
      <w:pPr>
        <w:jc w:val="both"/>
        <w:rPr/>
      </w:pPr>
      <w:r w:rsidDel="00000000" w:rsidR="00000000" w:rsidRPr="00000000">
        <w:rPr>
          <w:sz w:val="24"/>
          <w:szCs w:val="24"/>
          <w:rtl w:val="0"/>
        </w:rPr>
        <w:tab/>
      </w:r>
      <w:r w:rsidDel="00000000" w:rsidR="00000000" w:rsidRPr="00000000">
        <w:rPr>
          <w:rtl w:val="0"/>
        </w:rPr>
        <w:t xml:space="preserve">O acesso ao fazer cultural é defendido pelos movimentos sociais e por importantes setores da academia como um direito social. Garantir acesso, fruição e transparência na gestão, bem como a interlocução entre Estado e sociedade civil, a partir de uma lógica sistêmica são elementos centrais na construção contemporânea de políticas de cultura democráticas e descentralizadoras.</w:t>
      </w:r>
    </w:p>
    <w:p w:rsidR="00000000" w:rsidDel="00000000" w:rsidP="00000000" w:rsidRDefault="00000000" w:rsidRPr="00000000" w14:paraId="0000003C">
      <w:pPr>
        <w:spacing w:line="276" w:lineRule="auto"/>
        <w:ind w:firstLine="708"/>
        <w:jc w:val="both"/>
        <w:rPr/>
      </w:pPr>
      <w:r w:rsidDel="00000000" w:rsidR="00000000" w:rsidRPr="00000000">
        <w:rPr>
          <w:rtl w:val="0"/>
        </w:rPr>
        <w:t xml:space="preserve">Nosso município começa a caminhar com passos efetivos na implantação desse desenho – já instituído no governo federal e em tantos outros entes federados. Todavia, não podemos avançar sem um reconhecimento público e coletivo de o acesso não pode estar centralizado a uma ou outra região da cidade. A questão do território, suas práticas, identidades, agentes culturais e platéia devem ser percebidas pelos poderes públicos na gestão de suas diretrizes.  Cabe ao Estado, pois, fomenta cultura em todos os cantos de nossa cidade. Estimular também iniciativas culturais que estejam no sentido da música dos titãs quando afirma: “Diversão e arte para qualquer parte”.</w:t>
      </w:r>
    </w:p>
    <w:p w:rsidR="00000000" w:rsidDel="00000000" w:rsidP="00000000" w:rsidRDefault="00000000" w:rsidRPr="00000000" w14:paraId="0000003D">
      <w:pPr>
        <w:spacing w:line="276" w:lineRule="auto"/>
        <w:ind w:firstLine="708"/>
        <w:jc w:val="both"/>
        <w:rPr/>
      </w:pPr>
      <w:r w:rsidDel="00000000" w:rsidR="00000000" w:rsidRPr="00000000">
        <w:rPr>
          <w:rtl w:val="0"/>
        </w:rPr>
        <w:t xml:space="preserve">A presente emenda visa que haja o incentivo do Poder Público na retomada econômica do setor cultural e no fomento de políticas públicas culturais para a Região Oceânica garantindo que a mesma possa consumir de sua própria cultura.</w:t>
      </w:r>
    </w:p>
    <w:p w:rsidR="00000000" w:rsidDel="00000000" w:rsidP="00000000" w:rsidRDefault="00000000" w:rsidRPr="00000000" w14:paraId="0000003E">
      <w:pPr>
        <w:jc w:val="both"/>
        <w:rPr>
          <w:b w:val="1"/>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jc w:val="center"/>
      <w:rPr>
        <w:b w:val="1"/>
        <w:sz w:val="24"/>
        <w:szCs w:val="24"/>
      </w:rPr>
    </w:pPr>
    <w:r w:rsidDel="00000000" w:rsidR="00000000" w:rsidRPr="00000000">
      <w:rPr>
        <w:b w:val="1"/>
        <w:sz w:val="24"/>
        <w:szCs w:val="24"/>
      </w:rPr>
      <w:drawing>
        <wp:inline distB="114300" distT="114300" distL="114300" distR="114300">
          <wp:extent cx="609600" cy="7429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jc w:val="center"/>
      <w:rPr>
        <w:b w:val="1"/>
        <w:sz w:val="24"/>
        <w:szCs w:val="24"/>
      </w:rPr>
    </w:pPr>
    <w:r w:rsidDel="00000000" w:rsidR="00000000" w:rsidRPr="00000000">
      <w:rPr>
        <w:b w:val="1"/>
        <w:sz w:val="24"/>
        <w:szCs w:val="24"/>
        <w:rtl w:val="0"/>
      </w:rPr>
      <w:t xml:space="preserve">Câmara Municipal de Niterói</w:t>
    </w:r>
  </w:p>
  <w:p w:rsidR="00000000" w:rsidDel="00000000" w:rsidP="00000000" w:rsidRDefault="00000000" w:rsidRPr="00000000" w14:paraId="00000041">
    <w:pPr>
      <w:jc w:val="center"/>
      <w:rPr/>
    </w:pPr>
    <w:r w:rsidDel="00000000" w:rsidR="00000000" w:rsidRPr="00000000">
      <w:rPr>
        <w:sz w:val="24"/>
        <w:szCs w:val="24"/>
        <w:rtl w:val="0"/>
      </w:rPr>
      <w:t xml:space="preserve">Gabinete do Vereador Leonardo Giordano - PCdoB</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