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Implementação da Cidade do Samba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ica adicionada ação orçamentária Implementação da Cidade do Samba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Implementação da Cidade do Samba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Cidade do Samba dedicada à preservação e celebração dessa expressão artística, contribuindo para o desenvolvimento econômico e cultural de Niterói.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1.0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17.01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04.122 0145.6272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33.593.821,21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32.593.821,21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6">
      <w:pPr>
        <w:spacing w:after="12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9">
      <w:pPr>
        <w:spacing w:line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firstLine="720"/>
        <w:jc w:val="both"/>
        <w:rPr/>
      </w:pPr>
      <w:r w:rsidDel="00000000" w:rsidR="00000000" w:rsidRPr="00000000">
        <w:rPr>
          <w:rtl w:val="0"/>
        </w:rPr>
        <w:t xml:space="preserve">A criação da Cidade do Samba em Niterói se embasa na promoção da cultura e turismo, visando consolidar o município como um polo cultural e turístico na região. Inspirado no sucesso da Cidade do Samba no Rio de Janeiro, este projeto busca fomentar a indústria criativa local, gerar empregos e atrair visitantes interessados na rica tradição cultural do samba. Além de fortalecer a identidade cultural da cidade, a criação de uma Cidade do Samba em Niterói proporciona um espaço dedicado à preservação e celebração dessa expressão artística única, contribuindo para o desenvolvimento econômico e cultural da região. A proposta busca, assim, potencializar a relevância cultural e econômica de Niterói, ao estabelecer um espaço dedicado à manifestação do samba e suas vertentes, enriquecendo a oferta cultural e turística da cidade.</w:t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B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C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D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