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Realizar campanhas permanentes de conscientização sobre direitos humanos, diversidade e combate às discriminações, com destaque ao combate ao machismo, racismo e LGBTfobia.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Realizar campanhas permanentes de conscientização sobre direitos humanos, diversidade e combate às discriminações, com destaque ao combate ao machismo, racismo e LGBTfobia.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de Campanhas Permanentes de Combate ao Machismo, Racismo e a LGBTfobia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Realizar campanhas permanentes de conscientização sobre direitos humanos, diversidade e combate às discriminações, com destaque ao combate ao machismo, racismo e LGBTfobia.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76 - Secretaria Municipal de Direitos Humanos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14 - Direitos da Cidadania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422 - Direitos Indiv Coletivos e Difusos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15.452 0010.4181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14.520.788,64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14.320.788,64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</w:rPr>
        <w:drawing>
          <wp:inline distB="114300" distT="114300" distL="114300" distR="114300">
            <wp:extent cx="2248767" cy="586472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48767" cy="58647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realização de campanhas permanentes de combate ao machismo, racismo e à LGBTfobia é fundamental para fomentar uma cultura de respeito, igualdade e diversidade na cidade. Investir em tais campanhas representa um compromisso com a promoção dos direitos humanos, contribuindo para a conscientização da população e a prevenção de práticas discriminatórias. Essa iniciativa reforça o papel de Niterói como uma cidade inclusiva e ativamente engajada na construção de uma sociedade mais justa e igualitária.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