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Rule="auto"/>
        <w:rPr/>
      </w:pPr>
      <w:r w:rsidDel="00000000" w:rsidR="00000000" w:rsidRPr="00000000">
        <w:rPr>
          <w:rtl w:val="0"/>
        </w:rPr>
      </w:r>
    </w:p>
    <w:p w:rsidR="00000000" w:rsidDel="00000000" w:rsidP="00000000" w:rsidRDefault="00000000" w:rsidRPr="00000000" w14:paraId="00000002">
      <w:pPr>
        <w:spacing w:after="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EMENDA ADITIVA Nº 156 AO PROJETO DE LEI Nº 193/2023</w:t>
      </w:r>
    </w:p>
    <w:p w:rsidR="00000000" w:rsidDel="00000000" w:rsidP="00000000" w:rsidRDefault="00000000" w:rsidRPr="00000000" w14:paraId="00000003">
      <w:pPr>
        <w:spacing w:after="0" w:lineRule="auto"/>
        <w:jc w:val="center"/>
        <w:rPr>
          <w:rFonts w:ascii="Times New Roman" w:cs="Times New Roman" w:eastAsia="Times New Roman" w:hAnsi="Times New Roman"/>
          <w:b w:val="1"/>
          <w:sz w:val="10"/>
          <w:szCs w:val="10"/>
        </w:rPr>
      </w:pPr>
      <w:r w:rsidDel="00000000" w:rsidR="00000000" w:rsidRPr="00000000">
        <w:rPr>
          <w:rtl w:val="0"/>
        </w:rPr>
      </w:r>
    </w:p>
    <w:p w:rsidR="00000000" w:rsidDel="00000000" w:rsidP="00000000" w:rsidRDefault="00000000" w:rsidRPr="00000000" w14:paraId="00000004">
      <w:pPr>
        <w:spacing w:after="0" w:lineRule="auto"/>
        <w:jc w:val="center"/>
        <w:rPr>
          <w:rFonts w:ascii="Times New Roman" w:cs="Times New Roman" w:eastAsia="Times New Roman" w:hAnsi="Times New Roman"/>
          <w:b w:val="1"/>
          <w:sz w:val="10"/>
          <w:szCs w:val="10"/>
        </w:rPr>
      </w:pPr>
      <w:r w:rsidDel="00000000" w:rsidR="00000000" w:rsidRPr="00000000">
        <w:rPr>
          <w:rtl w:val="0"/>
        </w:rPr>
      </w:r>
    </w:p>
    <w:p w:rsidR="00000000" w:rsidDel="00000000" w:rsidP="00000000" w:rsidRDefault="00000000" w:rsidRPr="00000000" w14:paraId="00000005">
      <w:pPr>
        <w:spacing w:after="0" w:lineRule="auto"/>
        <w:ind w:left="4678" w:firstLine="0"/>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Acrescenta ação “Implementação do Bilhete Especial do Desempregado” no Projeto de Lei nº 193/2023</w:t>
      </w:r>
    </w:p>
    <w:p w:rsidR="00000000" w:rsidDel="00000000" w:rsidP="00000000" w:rsidRDefault="00000000" w:rsidRPr="00000000" w14:paraId="00000006">
      <w:pPr>
        <w:spacing w:after="0" w:lineRule="auto"/>
        <w:ind w:left="3969" w:firstLine="0"/>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7">
      <w:pPr>
        <w:spacing w:after="12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Art. 1º </w:t>
      </w:r>
      <w:r w:rsidDel="00000000" w:rsidR="00000000" w:rsidRPr="00000000">
        <w:rPr>
          <w:rFonts w:ascii="Arial" w:cs="Arial" w:eastAsia="Arial" w:hAnsi="Arial"/>
          <w:sz w:val="24"/>
          <w:szCs w:val="24"/>
          <w:rtl w:val="0"/>
        </w:rPr>
        <w:t xml:space="preserve">- Fica adicionada ação orçamentária “Implementação do Bilhete Especial do Desempregado”, ao Projeto de Lei Nº   193/ 2023, conforme tabela abaixo:</w:t>
      </w:r>
      <w:r w:rsidDel="00000000" w:rsidR="00000000" w:rsidRPr="00000000">
        <w:rPr>
          <w:rtl w:val="0"/>
        </w:rPr>
      </w:r>
    </w:p>
    <w:tbl>
      <w:tblPr>
        <w:tblStyle w:val="Table1"/>
        <w:tblW w:w="9348.0"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2151"/>
        <w:gridCol w:w="1484"/>
        <w:gridCol w:w="2042"/>
        <w:gridCol w:w="1739"/>
        <w:gridCol w:w="1932"/>
        <w:tblGridChange w:id="0">
          <w:tblGrid>
            <w:gridCol w:w="2151"/>
            <w:gridCol w:w="1484"/>
            <w:gridCol w:w="2042"/>
            <w:gridCol w:w="1739"/>
            <w:gridCol w:w="1932"/>
          </w:tblGrid>
        </w:tblGridChange>
      </w:tblGrid>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8">
            <w:pPr>
              <w:spacing w:after="0"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PROGRAMA</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9">
            <w:pPr>
              <w:spacing w:after="0" w:line="240" w:lineRule="auto"/>
              <w:rPr/>
            </w:pPr>
            <w:r w:rsidDel="00000000" w:rsidR="00000000" w:rsidRPr="00000000">
              <w:rPr>
                <w:rtl w:val="0"/>
              </w:rPr>
              <w:t xml:space="preserve">0146 DESENVOLVIMENTO ECONÔMICO</w:t>
            </w:r>
          </w:p>
        </w:tc>
      </w:tr>
      <w:tr>
        <w:trPr>
          <w:cantSplit w:val="0"/>
          <w:trHeight w:val="285"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D">
            <w:pPr>
              <w:spacing w:after="0"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TÍTULO DA AÇÃO</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E">
            <w:pPr>
              <w:spacing w:after="120" w:lineRule="auto"/>
              <w:jc w:val="both"/>
              <w:rPr>
                <w:sz w:val="18"/>
                <w:szCs w:val="18"/>
              </w:rPr>
            </w:pPr>
            <w:r w:rsidDel="00000000" w:rsidR="00000000" w:rsidRPr="00000000">
              <w:rPr>
                <w:sz w:val="18"/>
                <w:szCs w:val="18"/>
                <w:rtl w:val="0"/>
              </w:rPr>
              <w:t xml:space="preserve">Implementação do Bilhete Especial do Desempregado</w:t>
            </w:r>
          </w:p>
        </w:tc>
      </w:tr>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2">
            <w:pPr>
              <w:spacing w:after="0"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DESCRIÇÃO DA AÇÃO</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3">
            <w:pPr>
              <w:spacing w:after="0" w:line="240" w:lineRule="auto"/>
              <w:rPr/>
            </w:pPr>
            <w:r w:rsidDel="00000000" w:rsidR="00000000" w:rsidRPr="00000000">
              <w:rPr>
                <w:rtl w:val="0"/>
              </w:rPr>
              <w:t xml:space="preserve">Implementação do Bilhete Especial voltado à garantir gratuidade aos trabalhadores desempregados no transporte público municipal</w:t>
            </w:r>
          </w:p>
        </w:tc>
      </w:tr>
      <w:tr>
        <w:trPr>
          <w:cantSplit w:val="0"/>
          <w:trHeight w:val="300" w:hRule="atLeast"/>
          <w:tblHeader w:val="0"/>
        </w:trPr>
        <w:tc>
          <w:tcPr>
            <w:tcBorders>
              <w:top w:color="353535" w:space="0" w:sz="6" w:val="single"/>
              <w:left w:color="353535" w:space="0" w:sz="6" w:val="single"/>
              <w:bottom w:color="333333" w:space="0" w:sz="6" w:val="single"/>
              <w:right w:color="000000" w:space="0" w:sz="4" w:val="single"/>
            </w:tcBorders>
            <w:shd w:fill="auto" w:val="clear"/>
            <w:vAlign w:val="center"/>
          </w:tcPr>
          <w:p w:rsidR="00000000" w:rsidDel="00000000" w:rsidP="00000000" w:rsidRDefault="00000000" w:rsidRPr="00000000" w14:paraId="00000017">
            <w:pPr>
              <w:spacing w:after="0" w:line="240" w:lineRule="auto"/>
              <w:rPr>
                <w:rFonts w:ascii="Arial" w:cs="Arial" w:eastAsia="Arial" w:hAnsi="Arial"/>
                <w:sz w:val="20"/>
                <w:szCs w:val="20"/>
              </w:rPr>
            </w:pPr>
            <w:r w:rsidDel="00000000" w:rsidR="00000000" w:rsidRPr="00000000">
              <w:rPr>
                <w:rFonts w:ascii="Arial" w:cs="Arial" w:eastAsia="Arial" w:hAnsi="Arial"/>
                <w:b w:val="1"/>
                <w:sz w:val="20"/>
                <w:szCs w:val="20"/>
                <w:rtl w:val="0"/>
              </w:rPr>
              <w:t xml:space="preserve">UNIDADE ORÇAMENTÁRIA </w:t>
            </w:r>
            <w:r w:rsidDel="00000000" w:rsidR="00000000" w:rsidRPr="00000000">
              <w:rPr>
                <w:rFonts w:ascii="Arial" w:cs="Arial" w:eastAsia="Arial" w:hAnsi="Arial"/>
                <w:sz w:val="20"/>
                <w:szCs w:val="20"/>
                <w:rtl w:val="0"/>
              </w:rPr>
              <w:t xml:space="preserve"> </w:t>
            </w:r>
          </w:p>
        </w:tc>
        <w:tc>
          <w:tcPr>
            <w:gridSpan w:val="2"/>
            <w:tcBorders>
              <w:top w:color="000000" w:space="0" w:sz="4" w:val="single"/>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018">
            <w:pPr>
              <w:spacing w:after="0" w:line="240" w:lineRule="auto"/>
              <w:rPr>
                <w:rFonts w:ascii="Arial" w:cs="Arial" w:eastAsia="Arial" w:hAnsi="Arial"/>
                <w:sz w:val="20"/>
                <w:szCs w:val="20"/>
              </w:rPr>
            </w:pPr>
            <w:r w:rsidDel="00000000" w:rsidR="00000000" w:rsidRPr="00000000">
              <w:rPr>
                <w:sz w:val="18"/>
                <w:szCs w:val="18"/>
                <w:rtl w:val="0"/>
              </w:rPr>
              <w:t xml:space="preserve">16.01</w:t>
            </w:r>
            <w:r w:rsidDel="00000000" w:rsidR="00000000" w:rsidRPr="00000000">
              <w:rPr>
                <w:rtl w:val="0"/>
              </w:rPr>
            </w:r>
          </w:p>
        </w:tc>
        <w:tc>
          <w:tcPr>
            <w:tcBorders>
              <w:top w:color="000000" w:space="0" w:sz="4" w:val="single"/>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01A">
            <w:pPr>
              <w:spacing w:after="0" w:line="240" w:lineRule="auto"/>
              <w:rPr>
                <w:rFonts w:ascii="Arial" w:cs="Arial" w:eastAsia="Arial" w:hAnsi="Arial"/>
                <w:sz w:val="20"/>
                <w:szCs w:val="20"/>
              </w:rPr>
            </w:pP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1B">
            <w:pPr>
              <w:spacing w:after="0" w:line="240" w:lineRule="auto"/>
              <w:rPr>
                <w:rFonts w:ascii="Arial" w:cs="Arial" w:eastAsia="Arial" w:hAnsi="Arial"/>
                <w:sz w:val="20"/>
                <w:szCs w:val="20"/>
              </w:rPr>
            </w:pPr>
            <w:r w:rsidDel="00000000" w:rsidR="00000000" w:rsidRPr="00000000">
              <w:rPr>
                <w:rtl w:val="0"/>
              </w:rPr>
            </w:r>
          </w:p>
        </w:tc>
      </w:tr>
      <w:tr>
        <w:trPr>
          <w:cantSplit w:val="0"/>
          <w:trHeight w:val="300" w:hRule="atLeast"/>
          <w:tblHeader w:val="0"/>
        </w:trPr>
        <w:tc>
          <w:tcPr>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C">
            <w:pPr>
              <w:spacing w:after="0" w:line="240" w:lineRule="auto"/>
              <w:rPr>
                <w:rFonts w:ascii="Arial" w:cs="Arial" w:eastAsia="Arial" w:hAnsi="Arial"/>
                <w:sz w:val="20"/>
                <w:szCs w:val="20"/>
              </w:rPr>
            </w:pPr>
            <w:r w:rsidDel="00000000" w:rsidR="00000000" w:rsidRPr="00000000">
              <w:rPr>
                <w:rFonts w:ascii="Arial" w:cs="Arial" w:eastAsia="Arial" w:hAnsi="Arial"/>
                <w:b w:val="1"/>
                <w:sz w:val="20"/>
                <w:szCs w:val="20"/>
                <w:rtl w:val="0"/>
              </w:rPr>
              <w:t xml:space="preserve">FUNÇÃO </w:t>
            </w:r>
            <w:r w:rsidDel="00000000" w:rsidR="00000000" w:rsidRPr="00000000">
              <w:rPr>
                <w:rFonts w:ascii="Arial" w:cs="Arial" w:eastAsia="Arial" w:hAnsi="Arial"/>
                <w:sz w:val="20"/>
                <w:szCs w:val="20"/>
                <w:rtl w:val="0"/>
              </w:rPr>
              <w:t xml:space="preserve"> </w:t>
            </w:r>
          </w:p>
        </w:tc>
        <w:tc>
          <w:tcPr>
            <w:gridSpan w:val="2"/>
            <w:tcBorders>
              <w:top w:color="000000" w:space="0" w:sz="4"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D">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14</w:t>
            </w:r>
          </w:p>
        </w:tc>
        <w:tc>
          <w:tcPr>
            <w:tcBorders>
              <w:top w:color="000000" w:space="0" w:sz="4"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F">
            <w:pPr>
              <w:spacing w:after="0" w:line="240" w:lineRule="auto"/>
              <w:rPr>
                <w:rFonts w:ascii="Arial" w:cs="Arial" w:eastAsia="Arial" w:hAnsi="Arial"/>
                <w:sz w:val="20"/>
                <w:szCs w:val="20"/>
              </w:rPr>
            </w:pPr>
            <w:r w:rsidDel="00000000" w:rsidR="00000000" w:rsidRPr="00000000">
              <w:rPr>
                <w:rFonts w:ascii="Arial" w:cs="Arial" w:eastAsia="Arial" w:hAnsi="Arial"/>
                <w:b w:val="1"/>
                <w:sz w:val="20"/>
                <w:szCs w:val="20"/>
                <w:rtl w:val="0"/>
              </w:rPr>
              <w:t xml:space="preserve">SUBFUNÇÃO </w:t>
            </w:r>
            <w:r w:rsidDel="00000000" w:rsidR="00000000" w:rsidRPr="00000000">
              <w:rPr>
                <w:rFonts w:ascii="Arial" w:cs="Arial" w:eastAsia="Arial" w:hAnsi="Arial"/>
                <w:sz w:val="20"/>
                <w:szCs w:val="20"/>
                <w:rtl w:val="0"/>
              </w:rPr>
              <w:t xml:space="preserve"> </w:t>
            </w:r>
          </w:p>
        </w:tc>
        <w:tc>
          <w:tcPr>
            <w:tcBorders>
              <w:top w:color="000000" w:space="0" w:sz="4"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20">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422</w:t>
            </w:r>
          </w:p>
        </w:tc>
      </w:tr>
      <w:tr>
        <w:trPr>
          <w:cantSplit w:val="0"/>
          <w:trHeight w:val="311" w:hRule="atLeast"/>
          <w:tblHeader w:val="0"/>
        </w:trPr>
        <w:tc>
          <w:tcPr>
            <w:gridSpan w:val="5"/>
            <w:tcBorders>
              <w:top w:color="353535" w:space="0" w:sz="6" w:val="single"/>
              <w:left w:color="353535" w:space="0" w:sz="6" w:val="single"/>
              <w:bottom w:color="353535" w:space="0" w:sz="6" w:val="single"/>
              <w:right w:color="353535" w:space="0" w:sz="6" w:val="single"/>
            </w:tcBorders>
            <w:shd w:fill="eaeaea" w:val="clear"/>
            <w:vAlign w:val="center"/>
          </w:tcPr>
          <w:p w:rsidR="00000000" w:rsidDel="00000000" w:rsidP="00000000" w:rsidRDefault="00000000" w:rsidRPr="00000000" w14:paraId="00000021">
            <w:pPr>
              <w:spacing w:after="0" w:line="240" w:lineRule="auto"/>
              <w:rPr>
                <w:rFonts w:ascii="Arial" w:cs="Arial" w:eastAsia="Arial" w:hAnsi="Arial"/>
                <w:sz w:val="20"/>
                <w:szCs w:val="20"/>
              </w:rPr>
            </w:pPr>
            <w:r w:rsidDel="00000000" w:rsidR="00000000" w:rsidRPr="00000000">
              <w:rPr>
                <w:rFonts w:ascii="Arial" w:cs="Arial" w:eastAsia="Arial" w:hAnsi="Arial"/>
                <w:b w:val="1"/>
                <w:sz w:val="20"/>
                <w:szCs w:val="20"/>
                <w:rtl w:val="0"/>
              </w:rPr>
              <w:t xml:space="preserve">METAS FÍSICO-FINANCEIRAS DA AÇÃO ORÇAMENTÁRIA – ANO 2024</w:t>
            </w:r>
            <w:r w:rsidDel="00000000" w:rsidR="00000000" w:rsidRPr="00000000">
              <w:rPr>
                <w:rtl w:val="0"/>
              </w:rPr>
            </w:r>
          </w:p>
        </w:tc>
      </w:tr>
      <w:tr>
        <w:trPr>
          <w:cantSplit w:val="0"/>
          <w:trHeight w:val="435" w:hRule="atLeast"/>
          <w:tblHeader w:val="0"/>
        </w:trPr>
        <w:tc>
          <w:tcPr>
            <w:tcBorders>
              <w:top w:color="353535" w:space="0" w:sz="6" w:val="single"/>
              <w:left w:color="333333" w:space="0" w:sz="6" w:val="single"/>
              <w:bottom w:color="000000" w:space="0" w:sz="4" w:val="single"/>
              <w:right w:color="000000" w:space="0" w:sz="4" w:val="single"/>
            </w:tcBorders>
            <w:shd w:fill="auto" w:val="clear"/>
            <w:vAlign w:val="center"/>
          </w:tcPr>
          <w:p w:rsidR="00000000" w:rsidDel="00000000" w:rsidP="00000000" w:rsidRDefault="00000000" w:rsidRPr="00000000" w14:paraId="00000026">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VALOR PROPOSTO</w:t>
            </w:r>
          </w:p>
        </w:tc>
        <w:tc>
          <w:tcPr>
            <w:tcBorders>
              <w:top w:color="000000" w:space="0" w:sz="0" w:val="nil"/>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027">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100.000,00</w:t>
            </w:r>
          </w:p>
        </w:tc>
        <w:tc>
          <w:tcPr>
            <w:tcBorders>
              <w:top w:color="000000" w:space="0" w:sz="0" w:val="nil"/>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028">
            <w:pPr>
              <w:spacing w:after="0" w:line="240" w:lineRule="auto"/>
              <w:jc w:val="center"/>
              <w:rPr>
                <w:rFonts w:ascii="Arial" w:cs="Arial" w:eastAsia="Arial" w:hAnsi="Arial"/>
                <w:sz w:val="20"/>
                <w:szCs w:val="20"/>
              </w:rPr>
            </w:pPr>
            <w:r w:rsidDel="00000000" w:rsidR="00000000" w:rsidRPr="00000000">
              <w:rPr>
                <w:rtl w:val="0"/>
              </w:rPr>
            </w:r>
          </w:p>
        </w:tc>
        <w:tc>
          <w:tcPr>
            <w:gridSpan w:val="2"/>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29">
            <w:pPr>
              <w:spacing w:after="0" w:line="240" w:lineRule="auto"/>
              <w:jc w:val="center"/>
              <w:rPr>
                <w:rFonts w:ascii="Arial" w:cs="Arial" w:eastAsia="Arial" w:hAnsi="Arial"/>
                <w:sz w:val="20"/>
                <w:szCs w:val="20"/>
              </w:rPr>
            </w:pPr>
            <w:r w:rsidDel="00000000" w:rsidR="00000000" w:rsidRPr="00000000">
              <w:rPr>
                <w:rtl w:val="0"/>
              </w:rPr>
            </w:r>
          </w:p>
        </w:tc>
      </w:tr>
    </w:tbl>
    <w:p w:rsidR="00000000" w:rsidDel="00000000" w:rsidP="00000000" w:rsidRDefault="00000000" w:rsidRPr="00000000" w14:paraId="0000002B">
      <w:pPr>
        <w:spacing w:after="120" w:lineRule="auto"/>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2C">
      <w:pPr>
        <w:spacing w:after="120" w:lineRule="auto"/>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Art. 2º </w:t>
      </w:r>
      <w:r w:rsidDel="00000000" w:rsidR="00000000" w:rsidRPr="00000000">
        <w:rPr>
          <w:rFonts w:ascii="Arial" w:cs="Arial" w:eastAsia="Arial" w:hAnsi="Arial"/>
          <w:sz w:val="24"/>
          <w:szCs w:val="24"/>
          <w:rtl w:val="0"/>
        </w:rPr>
        <w:t xml:space="preserve">- Os valores para a execução da ação acima, serão compensados conforme quadro abaixo:</w:t>
      </w:r>
    </w:p>
    <w:p w:rsidR="00000000" w:rsidDel="00000000" w:rsidP="00000000" w:rsidRDefault="00000000" w:rsidRPr="00000000" w14:paraId="0000002D">
      <w:pPr>
        <w:spacing w:after="120" w:lineRule="auto"/>
        <w:jc w:val="both"/>
        <w:rPr>
          <w:rFonts w:ascii="Arial" w:cs="Arial" w:eastAsia="Arial" w:hAnsi="Arial"/>
          <w:sz w:val="20"/>
          <w:szCs w:val="20"/>
        </w:rPr>
      </w:pPr>
      <w:r w:rsidDel="00000000" w:rsidR="00000000" w:rsidRPr="00000000">
        <w:rPr>
          <w:rtl w:val="0"/>
        </w:rPr>
      </w:r>
    </w:p>
    <w:tbl>
      <w:tblPr>
        <w:tblStyle w:val="Table2"/>
        <w:tblW w:w="8488.0"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2431"/>
        <w:gridCol w:w="6057"/>
        <w:tblGridChange w:id="0">
          <w:tblGrid>
            <w:gridCol w:w="2431"/>
            <w:gridCol w:w="6057"/>
          </w:tblGrid>
        </w:tblGridChange>
      </w:tblGrid>
      <w:tr>
        <w:trPr>
          <w:cantSplit w:val="0"/>
          <w:trHeight w:val="274"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2E">
            <w:pPr>
              <w:spacing w:after="0" w:line="240" w:lineRule="auto"/>
              <w:rPr>
                <w:rFonts w:ascii="Arial" w:cs="Arial" w:eastAsia="Arial" w:hAnsi="Arial"/>
                <w:b w:val="1"/>
                <w:sz w:val="20"/>
                <w:szCs w:val="20"/>
              </w:rPr>
            </w:pPr>
            <w:bookmarkStart w:colFirst="0" w:colLast="0" w:name="_heading=h.gjdgxs" w:id="0"/>
            <w:bookmarkEnd w:id="0"/>
            <w:r w:rsidDel="00000000" w:rsidR="00000000" w:rsidRPr="00000000">
              <w:rPr>
                <w:rFonts w:ascii="Arial" w:cs="Arial" w:eastAsia="Arial" w:hAnsi="Arial"/>
                <w:b w:val="1"/>
                <w:sz w:val="20"/>
                <w:szCs w:val="20"/>
                <w:rtl w:val="0"/>
              </w:rPr>
              <w:t xml:space="preserve">ÓRGÃO/UNIDADE ORÇAMENTÁRIA </w:t>
            </w:r>
            <w:r w:rsidDel="00000000" w:rsidR="00000000" w:rsidRPr="00000000">
              <w:rPr>
                <w:rFonts w:ascii="Arial" w:cs="Arial" w:eastAsia="Arial" w:hAnsi="Arial"/>
                <w:sz w:val="20"/>
                <w:szCs w:val="20"/>
                <w:rtl w:val="0"/>
              </w:rPr>
              <w:t xml:space="preserve"> </w:t>
            </w:r>
            <w:r w:rsidDel="00000000" w:rsidR="00000000" w:rsidRPr="00000000">
              <w:rPr>
                <w:rtl w:val="0"/>
              </w:rPr>
            </w:r>
          </w:p>
        </w:tc>
        <w:tc>
          <w:tcPr>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2F">
            <w:pPr>
              <w:spacing w:after="0" w:line="240" w:lineRule="auto"/>
              <w:rPr>
                <w:sz w:val="18"/>
                <w:szCs w:val="18"/>
              </w:rPr>
            </w:pPr>
            <w:r w:rsidDel="00000000" w:rsidR="00000000" w:rsidRPr="00000000">
              <w:rPr>
                <w:sz w:val="18"/>
                <w:szCs w:val="18"/>
                <w:rtl w:val="0"/>
              </w:rPr>
              <w:t xml:space="preserve">19.01</w:t>
            </w:r>
          </w:p>
        </w:tc>
      </w:tr>
      <w:tr>
        <w:trPr>
          <w:cantSplit w:val="0"/>
          <w:trHeight w:val="274"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0">
            <w:pPr>
              <w:spacing w:after="0"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FUNCIONAL PROGRAMÁTICA (PROGRAMA DE TRABALHO)</w:t>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1">
            <w:pPr>
              <w:spacing w:after="0" w:line="240" w:lineRule="auto"/>
              <w:rPr>
                <w:sz w:val="18"/>
                <w:szCs w:val="18"/>
              </w:rPr>
            </w:pPr>
            <w:r w:rsidDel="00000000" w:rsidR="00000000" w:rsidRPr="00000000">
              <w:rPr>
                <w:sz w:val="18"/>
                <w:szCs w:val="18"/>
                <w:rtl w:val="0"/>
              </w:rPr>
              <w:t xml:space="preserve">06.181.0131.4478</w:t>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2">
            <w:pPr>
              <w:spacing w:after="0" w:line="240" w:lineRule="auto"/>
              <w:rPr>
                <w:rFonts w:ascii="Arial" w:cs="Arial" w:eastAsia="Arial" w:hAnsi="Arial"/>
                <w:sz w:val="20"/>
                <w:szCs w:val="20"/>
              </w:rPr>
            </w:pPr>
            <w:r w:rsidDel="00000000" w:rsidR="00000000" w:rsidRPr="00000000">
              <w:rPr>
                <w:rFonts w:ascii="Arial" w:cs="Arial" w:eastAsia="Arial" w:hAnsi="Arial"/>
                <w:b w:val="1"/>
                <w:sz w:val="20"/>
                <w:szCs w:val="20"/>
                <w:rtl w:val="0"/>
              </w:rPr>
              <w:t xml:space="preserve">META FINANCEIRA PLOA 2024</w:t>
            </w:r>
            <w:r w:rsidDel="00000000" w:rsidR="00000000" w:rsidRPr="00000000">
              <w:rPr>
                <w:rtl w:val="0"/>
              </w:rPr>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3">
            <w:pPr>
              <w:spacing w:after="0" w:line="240" w:lineRule="auto"/>
              <w:rPr>
                <w:sz w:val="18"/>
                <w:szCs w:val="18"/>
              </w:rPr>
            </w:pPr>
            <w:r w:rsidDel="00000000" w:rsidR="00000000" w:rsidRPr="00000000">
              <w:rPr>
                <w:sz w:val="18"/>
                <w:szCs w:val="18"/>
                <w:rtl w:val="0"/>
              </w:rPr>
              <w:t xml:space="preserve">5.300.000,00</w:t>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4">
            <w:pPr>
              <w:spacing w:after="0"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VALOR PROPOSTO PARA COMPENSAÇÃO NA EMENDA</w:t>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5">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100.000,00</w:t>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6">
            <w:pPr>
              <w:spacing w:after="0"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VALOR FINAL PROPOSTO</w:t>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7">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5.200.000,00</w:t>
            </w:r>
          </w:p>
        </w:tc>
      </w:tr>
    </w:tbl>
    <w:p w:rsidR="00000000" w:rsidDel="00000000" w:rsidP="00000000" w:rsidRDefault="00000000" w:rsidRPr="00000000" w14:paraId="00000038">
      <w:pPr>
        <w:spacing w:after="120" w:lineRule="auto"/>
        <w:jc w:val="left"/>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39">
      <w:pPr>
        <w:spacing w:after="120" w:lineRule="auto"/>
        <w:jc w:val="right"/>
        <w:rPr>
          <w:rFonts w:ascii="Arial" w:cs="Arial" w:eastAsia="Arial" w:hAnsi="Arial"/>
          <w:b w:val="1"/>
          <w:sz w:val="24"/>
          <w:szCs w:val="24"/>
        </w:rPr>
      </w:pPr>
      <w:r w:rsidDel="00000000" w:rsidR="00000000" w:rsidRPr="00000000">
        <w:rPr>
          <w:rFonts w:ascii="Arial" w:cs="Arial" w:eastAsia="Arial" w:hAnsi="Arial"/>
          <w:b w:val="1"/>
          <w:sz w:val="20"/>
          <w:szCs w:val="20"/>
          <w:rtl w:val="0"/>
        </w:rPr>
        <w:t xml:space="preserve">S</w:t>
      </w:r>
      <w:r w:rsidDel="00000000" w:rsidR="00000000" w:rsidRPr="00000000">
        <w:rPr>
          <w:rFonts w:ascii="Arial" w:cs="Arial" w:eastAsia="Arial" w:hAnsi="Arial"/>
          <w:b w:val="1"/>
          <w:sz w:val="24"/>
          <w:szCs w:val="24"/>
          <w:rtl w:val="0"/>
        </w:rPr>
        <w:t xml:space="preserve">ala das Sessões, 05 de dezembro de 2023.</w:t>
      </w:r>
    </w:p>
    <w:p w:rsidR="00000000" w:rsidDel="00000000" w:rsidP="00000000" w:rsidRDefault="00000000" w:rsidRPr="00000000" w14:paraId="0000003A">
      <w:pPr>
        <w:spacing w:after="120" w:lineRule="auto"/>
        <w:jc w:val="left"/>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3B">
      <w:pPr>
        <w:spacing w:after="0" w:line="24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Professor Tulio</w:t>
      </w:r>
    </w:p>
    <w:p w:rsidR="00000000" w:rsidDel="00000000" w:rsidP="00000000" w:rsidRDefault="00000000" w:rsidRPr="00000000" w14:paraId="0000003C">
      <w:pPr>
        <w:spacing w:after="0" w:line="24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3D">
      <w:pPr>
        <w:spacing w:after="0" w:line="24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3E">
      <w:pPr>
        <w:spacing w:after="0" w:line="24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 Paulo Eduardo Gomes                                                              Benny Briolly</w:t>
      </w:r>
    </w:p>
    <w:p w:rsidR="00000000" w:rsidDel="00000000" w:rsidP="00000000" w:rsidRDefault="00000000" w:rsidRPr="00000000" w14:paraId="0000003F">
      <w:pPr>
        <w:spacing w:after="0" w:line="24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40">
      <w:pPr>
        <w:spacing w:after="0" w:line="24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41">
      <w:pPr>
        <w:spacing w:after="0" w:line="24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JUSTIFICATIVA:</w:t>
      </w:r>
    </w:p>
    <w:p w:rsidR="00000000" w:rsidDel="00000000" w:rsidP="00000000" w:rsidRDefault="00000000" w:rsidRPr="00000000" w14:paraId="00000042">
      <w:pPr>
        <w:spacing w:after="0" w:line="24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43">
      <w:pPr>
        <w:spacing w:after="0" w:line="240" w:lineRule="auto"/>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44">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 bilhete especial do desempregado, que oferece gratuidade no transporte público municipal, é uma iniciativa de extrema importância. Ele visa minimizar os danos causados aos trabalhadores que perdem seus empregos sem justa causa, proporcionando-lhes um suporte fundamental durante essa fase de transição.</w:t>
      </w:r>
    </w:p>
    <w:p w:rsidR="00000000" w:rsidDel="00000000" w:rsidP="00000000" w:rsidRDefault="00000000" w:rsidRPr="00000000" w14:paraId="00000045">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6">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perda do emprego pode ser uma situação extremamente difícil para qualquer pessoa. Além do impacto emocional, há também uma série de preocupações práticas, como a busca por um novo emprego e os custos envolvidos na locomoção para entrevistas, feiras de emprego e outras atividades relacionadas à reinserção no mercado de trabalho. Nesse contexto, o bilhete especial do desempregado desempenha um papel fundamental ao aliviar o ônus financeiro desses deslocamentos.</w:t>
      </w:r>
    </w:p>
    <w:p w:rsidR="00000000" w:rsidDel="00000000" w:rsidP="00000000" w:rsidRDefault="00000000" w:rsidRPr="00000000" w14:paraId="00000047">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8">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Ao oferecer a gratuidade no transporte público municipal, o benefício proporciona um estímulo para que os desempregados possam continuar em busca de oportunidades sem se preocuparem com os custos de deslocamento. Isso é especialmente relevante quando consideramos que muitas vezes essas pessoas estão em uma situação financeira delicada, com recursos limitados para investir em sua mobilidade.</w:t>
      </w:r>
    </w:p>
    <w:p w:rsidR="00000000" w:rsidDel="00000000" w:rsidP="00000000" w:rsidRDefault="00000000" w:rsidRPr="00000000" w14:paraId="00000049">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A">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Vale destacar que essa iniciativa já foi implantada de forma bem-sucedida no Metrô de São Paulo e na Companhia Paulista de Trens Metropolitanos (CPTM). O fato de contar com amplo apoio da população mostra que o benefício é reconhecido como uma medida importante de apoio aos desempregados, demonstrando sensibilidade social e compreensão das dificuldades enfrentadas por aqueles que estão fora do mercado de trabalho.</w:t>
      </w:r>
    </w:p>
    <w:p w:rsidR="00000000" w:rsidDel="00000000" w:rsidP="00000000" w:rsidRDefault="00000000" w:rsidRPr="00000000" w14:paraId="0000004B">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C">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Além dos benefícios diretos para os desempregados, o bilhete especial também traz vantagens para a sociedade como um todo. Ao ajudar os indivíduos a se deslocarem livremente e procurarem emprego, o benefício contribui para a redução do desemprego, promovendo o crescimento econômico e a inclusão social.</w:t>
      </w:r>
    </w:p>
    <w:p w:rsidR="00000000" w:rsidDel="00000000" w:rsidP="00000000" w:rsidRDefault="00000000" w:rsidRPr="00000000" w14:paraId="0000004D">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E">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Em suma, o bilhete especial do desempregado, ao oferecer gratuidade no transporte público municipal, desempenha um papel fundamental na vida dos trabalhadores que perderam seus empregos sem justa causa. Além de minimizar os danos financeiros e facilitar a busca por novas oportunidades de trabalho, essa iniciativa demonstra a preocupação das autoridades com a população desempregada e contribui para uma sociedade mais justa e inclusiva.</w:t>
      </w:r>
    </w:p>
    <w:p w:rsidR="00000000" w:rsidDel="00000000" w:rsidP="00000000" w:rsidRDefault="00000000" w:rsidRPr="00000000" w14:paraId="0000004F">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0">
      <w:pPr>
        <w:spacing w:after="0" w:line="240" w:lineRule="auto"/>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51">
      <w:pPr>
        <w:spacing w:after="0" w:line="240" w:lineRule="auto"/>
        <w:rPr>
          <w:rFonts w:ascii="Arial" w:cs="Arial" w:eastAsia="Arial" w:hAnsi="Arial"/>
          <w:b w:val="1"/>
          <w:sz w:val="24"/>
          <w:szCs w:val="24"/>
        </w:rPr>
      </w:pPr>
      <w:r w:rsidDel="00000000" w:rsidR="00000000" w:rsidRPr="00000000">
        <w:rPr>
          <w:rtl w:val="0"/>
        </w:rPr>
      </w:r>
    </w:p>
    <w:sectPr>
      <w:headerReference r:id="rId7" w:type="default"/>
      <w:pgSz w:h="16838" w:w="11906"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Georgia"/>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2">
    <w:pPr>
      <w:tabs>
        <w:tab w:val="center" w:leader="none" w:pos="4252"/>
        <w:tab w:val="right" w:leader="none" w:pos="8504"/>
      </w:tabs>
      <w:spacing w:after="0" w:line="240" w:lineRule="auto"/>
      <w:ind w:left="2880" w:firstLine="720"/>
      <w:rPr>
        <w:b w:val="1"/>
      </w:rPr>
    </w:pPr>
    <w:r w:rsidDel="00000000" w:rsidR="00000000" w:rsidRPr="00000000">
      <w:rPr/>
      <w:drawing>
        <wp:inline distB="0" distT="0" distL="0" distR="0">
          <wp:extent cx="558223" cy="680335"/>
          <wp:effectExtent b="0" l="0" r="0" t="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558223" cy="680335"/>
                  </a:xfrm>
                  <a:prstGeom prst="rect"/>
                  <a:ln/>
                </pic:spPr>
              </pic:pic>
            </a:graphicData>
          </a:graphic>
        </wp:inline>
      </w:drawing>
    </w:r>
    <w:r w:rsidDel="00000000" w:rsidR="00000000" w:rsidRPr="00000000">
      <w:rPr>
        <w:rtl w:val="0"/>
      </w:rPr>
    </w:r>
  </w:p>
  <w:p w:rsidR="00000000" w:rsidDel="00000000" w:rsidP="00000000" w:rsidRDefault="00000000" w:rsidRPr="00000000" w14:paraId="00000053">
    <w:pPr>
      <w:tabs>
        <w:tab w:val="center" w:leader="none" w:pos="4252"/>
        <w:tab w:val="right" w:leader="none" w:pos="8504"/>
      </w:tabs>
      <w:spacing w:after="0" w:line="240" w:lineRule="auto"/>
      <w:rPr>
        <w:rFonts w:ascii="Times New Roman" w:cs="Times New Roman" w:eastAsia="Times New Roman" w:hAnsi="Times New Roman"/>
        <w:b w:val="1"/>
      </w:rPr>
    </w:pPr>
    <w:r w:rsidDel="00000000" w:rsidR="00000000" w:rsidRPr="00000000">
      <w:rPr>
        <w:b w:val="1"/>
        <w:rtl w:val="0"/>
      </w:rPr>
      <w:tab/>
    </w:r>
    <w:r w:rsidDel="00000000" w:rsidR="00000000" w:rsidRPr="00000000">
      <w:rPr>
        <w:rFonts w:ascii="Times New Roman" w:cs="Times New Roman" w:eastAsia="Times New Roman" w:hAnsi="Times New Roman"/>
        <w:b w:val="1"/>
        <w:rtl w:val="0"/>
      </w:rPr>
      <w:t xml:space="preserve">CÂMARA MUNICIPAL DE NITERÓI</w:t>
    </w:r>
  </w:p>
  <w:p w:rsidR="00000000" w:rsidDel="00000000" w:rsidP="00000000" w:rsidRDefault="00000000" w:rsidRPr="00000000" w14:paraId="00000054">
    <w:pPr>
      <w:tabs>
        <w:tab w:val="center" w:leader="none" w:pos="4252"/>
        <w:tab w:val="right" w:leader="none" w:pos="8504"/>
      </w:tabs>
      <w:spacing w:after="0" w:line="240" w:lineRule="auto"/>
      <w:jc w:val="center"/>
      <w:rPr/>
    </w:pPr>
    <w:r w:rsidDel="00000000" w:rsidR="00000000" w:rsidRPr="00000000">
      <w:rPr>
        <w:rFonts w:ascii="Times New Roman" w:cs="Times New Roman" w:eastAsia="Times New Roman" w:hAnsi="Times New Roman"/>
        <w:b w:val="1"/>
        <w:rtl w:val="0"/>
      </w:rPr>
      <w:t xml:space="preserve">BANCADA DO PARTIDO SOCIALISMO E LIBERDADE</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pt-BR"/>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spacing w:line="240" w:lineRule="auto"/>
    </w:pPr>
    <w:rPr>
      <w:rFonts w:ascii="Times New Roman" w:cs="Times New Roman" w:eastAsia="Times New Roman" w:hAnsi="Times New Roman"/>
      <w:b w:val="1"/>
      <w:sz w:val="20"/>
      <w:szCs w:val="20"/>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m6W6uhBkv8VEQ8Z7bEnazQjWqhg==">CgMxLjAyCGguZ2pkZ3hzOAByITFiZHBOZk9GQW9Hd2ppa1lZaWprQXQwUDZELXBDUEFpWQ==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