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Construção de Sede para a E.M Padre Leonel Franca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de Sede para a E.M Padre Leonel Franca,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Construção de Sede para a E.M Padre Leonel Franca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Construção e manutenção de sede para a E.M. Padre Leonel Franca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365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R$ 22.268.452,12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Escola encontra-se alocada em uma casa adaptada desde sua fundação, levando em conta as especificidades que o Ensino Fundamental demanda, onde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é em cima de outra Unidade de Ensino, a UMEI Senador Vasconcelos Torres. Essa especificidade faz com que crianças de diferentes faixas etárias fiquem alocadas no mesmo espaço de forma que sobrecarrega a atuação dos profissionais de educação.É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Visto isso, é urgente a construção de uma sede para a Escola Municipal Padre Leonel Franca, dentro dos padrões estabelecidos e sua manutenção recorrente. A presente emenda tem por objetivo garantir verba para a construção e manutenção de uma sede para a referida unidade de ensino do Município, que não possui prédio próprio.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200" w:line="360" w:lineRule="auto"/>
        <w:ind w:firstLine="72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u0CedjK7UlCa/pLrcj4/LPesrQ==">CgMxLjAyCGguZ2pkZ3hzOAByITFPc2t1ZXl2U1dqWm10Yl93OUdKWllOSHdUMGxadXBKaA==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