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Rule="auto"/>
        <w:rPr/>
      </w:pPr>
      <w:r w:rsidDel="00000000" w:rsidR="00000000" w:rsidRPr="00000000">
        <w:rPr>
          <w:rtl w:val="0"/>
        </w:rPr>
      </w:r>
    </w:p>
    <w:p w:rsidR="00000000" w:rsidDel="00000000" w:rsidP="00000000" w:rsidRDefault="00000000" w:rsidRPr="00000000" w14:paraId="00000002">
      <w:pPr>
        <w:spacing w:after="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EMENDA ADITIVA Nº________ AO PROJETO DE LEI Nº 193/2023</w:t>
      </w:r>
    </w:p>
    <w:p w:rsidR="00000000" w:rsidDel="00000000" w:rsidP="00000000" w:rsidRDefault="00000000" w:rsidRPr="00000000" w14:paraId="00000003">
      <w:pPr>
        <w:spacing w:after="12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4">
      <w:pPr>
        <w:spacing w:after="0" w:lineRule="auto"/>
        <w:jc w:val="center"/>
        <w:rPr>
          <w:rFonts w:ascii="Times New Roman" w:cs="Times New Roman" w:eastAsia="Times New Roman" w:hAnsi="Times New Roman"/>
          <w:b w:val="1"/>
          <w:sz w:val="10"/>
          <w:szCs w:val="10"/>
        </w:rPr>
      </w:pPr>
      <w:r w:rsidDel="00000000" w:rsidR="00000000" w:rsidRPr="00000000">
        <w:rPr>
          <w:rtl w:val="0"/>
        </w:rPr>
      </w:r>
    </w:p>
    <w:p w:rsidR="00000000" w:rsidDel="00000000" w:rsidP="00000000" w:rsidRDefault="00000000" w:rsidRPr="00000000" w14:paraId="00000005">
      <w:pPr>
        <w:spacing w:after="0" w:lineRule="auto"/>
        <w:ind w:left="4678" w:firstLine="0"/>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Acrescenta ação    de Implementação do projeto urbanístico desenvolvido pela UFF no morro do Sabão            no Projeto de Lei nº 193/2023</w:t>
      </w:r>
    </w:p>
    <w:p w:rsidR="00000000" w:rsidDel="00000000" w:rsidP="00000000" w:rsidRDefault="00000000" w:rsidRPr="00000000" w14:paraId="00000006">
      <w:pPr>
        <w:spacing w:after="0" w:lineRule="auto"/>
        <w:ind w:left="4678"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7">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8">
      <w:pPr>
        <w:spacing w:after="0" w:lineRule="auto"/>
        <w:ind w:left="3969" w:firstLine="0"/>
        <w:jc w:val="both"/>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09">
      <w:pPr>
        <w:spacing w:after="120" w:lineRule="auto"/>
        <w:jc w:val="both"/>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 1º </w:t>
      </w:r>
      <w:r w:rsidDel="00000000" w:rsidR="00000000" w:rsidRPr="00000000">
        <w:rPr>
          <w:rFonts w:ascii="Arial" w:cs="Arial" w:eastAsia="Arial" w:hAnsi="Arial"/>
          <w:sz w:val="24"/>
          <w:szCs w:val="24"/>
          <w:rtl w:val="0"/>
        </w:rPr>
        <w:t xml:space="preserve">- Fica adicionada ação orçamentária Implementação do projeto urbanístico desenvolvido pela UFF no morro do Sabão, ao Projeto de Lei Nº   193/ 2023, conforme tabela abaixo:</w:t>
      </w:r>
      <w:r w:rsidDel="00000000" w:rsidR="00000000" w:rsidRPr="00000000">
        <w:rPr>
          <w:rtl w:val="0"/>
        </w:rPr>
      </w:r>
    </w:p>
    <w:tbl>
      <w:tblPr>
        <w:tblStyle w:val="Table1"/>
        <w:tblW w:w="934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151"/>
        <w:gridCol w:w="1484"/>
        <w:gridCol w:w="2042"/>
        <w:gridCol w:w="1739"/>
        <w:gridCol w:w="1932"/>
        <w:tblGridChange w:id="0">
          <w:tblGrid>
            <w:gridCol w:w="2151"/>
            <w:gridCol w:w="1484"/>
            <w:gridCol w:w="2042"/>
            <w:gridCol w:w="1739"/>
            <w:gridCol w:w="1932"/>
          </w:tblGrid>
        </w:tblGridChange>
      </w:tblGrid>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A">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PROGRAMA</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B">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0010 - CIDADE URBANIZADA</w:t>
            </w:r>
          </w:p>
        </w:tc>
      </w:tr>
      <w:tr>
        <w:trPr>
          <w:cantSplit w:val="0"/>
          <w:trHeight w:val="285"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0F">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TÍTULO DA AÇÃO</w:t>
            </w:r>
          </w:p>
        </w:tc>
        <w:tc>
          <w:tcPr>
            <w:gridSpan w:val="4"/>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0">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 Implementação do projeto urbanístico desenvolvido pela UFF no morro do Sabão</w:t>
            </w:r>
          </w:p>
        </w:tc>
      </w:tr>
      <w:tr>
        <w:trPr>
          <w:cantSplit w:val="0"/>
          <w:trHeight w:val="300"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14">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DESCRIÇÃO DA AÇÃO</w:t>
            </w:r>
          </w:p>
        </w:tc>
        <w:tc>
          <w:tcPr>
            <w:gridSpan w:val="4"/>
            <w:tcBorders>
              <w:top w:color="353535" w:space="0" w:sz="6" w:val="single"/>
              <w:left w:color="353535" w:space="0" w:sz="6" w:val="single"/>
              <w:bottom w:color="000000" w:space="0" w:sz="4" w:val="single"/>
              <w:right w:color="353535" w:space="0" w:sz="6" w:val="single"/>
            </w:tcBorders>
            <w:shd w:fill="auto" w:val="clear"/>
            <w:vAlign w:val="center"/>
          </w:tcPr>
          <w:p w:rsidR="00000000" w:rsidDel="00000000" w:rsidP="00000000" w:rsidRDefault="00000000" w:rsidRPr="00000000" w14:paraId="00000015">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Implementação do projeto urbanístico desenvolvido pela UFF no morro do Sabão</w:t>
            </w:r>
          </w:p>
        </w:tc>
      </w:tr>
      <w:tr>
        <w:trPr>
          <w:cantSplit w:val="0"/>
          <w:trHeight w:val="300" w:hRule="atLeast"/>
          <w:tblHeader w:val="0"/>
        </w:trPr>
        <w:tc>
          <w:tcPr>
            <w:tcBorders>
              <w:top w:color="353535" w:space="0" w:sz="6" w:val="single"/>
              <w:left w:color="353535" w:space="0" w:sz="6" w:val="single"/>
              <w:bottom w:color="333333" w:space="0" w:sz="6" w:val="single"/>
              <w:right w:color="000000" w:space="0" w:sz="4" w:val="single"/>
            </w:tcBorders>
            <w:shd w:fill="auto" w:val="clear"/>
            <w:vAlign w:val="center"/>
          </w:tcPr>
          <w:p w:rsidR="00000000" w:rsidDel="00000000" w:rsidP="00000000" w:rsidRDefault="00000000" w:rsidRPr="00000000" w14:paraId="00000019">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UNIDADE ORÇAMENTÁRIA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1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22.01 - URBANISMO E MOBILIDADE URBANA</w:t>
            </w:r>
          </w:p>
        </w:tc>
        <w:tc>
          <w:tcPr>
            <w:tcBorders>
              <w:top w:color="000000" w:space="0" w:sz="4" w:val="single"/>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1C">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1D">
            <w:pPr>
              <w:spacing w:after="0" w:line="240" w:lineRule="auto"/>
              <w:rPr>
                <w:rFonts w:ascii="Arial" w:cs="Arial" w:eastAsia="Arial" w:hAnsi="Arial"/>
                <w:sz w:val="20"/>
                <w:szCs w:val="20"/>
              </w:rPr>
            </w:pPr>
            <w:r w:rsidDel="00000000" w:rsidR="00000000" w:rsidRPr="00000000">
              <w:rPr>
                <w:rtl w:val="0"/>
              </w:rPr>
            </w:r>
          </w:p>
        </w:tc>
      </w:tr>
      <w:tr>
        <w:trPr>
          <w:cantSplit w:val="0"/>
          <w:trHeight w:val="300" w:hRule="atLeast"/>
          <w:tblHeader w:val="0"/>
        </w:trPr>
        <w:tc>
          <w:tcPr>
            <w:tcBorders>
              <w:top w:color="333333" w:space="0" w:sz="6"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E">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FUNÇÃO </w:t>
            </w:r>
            <w:r w:rsidDel="00000000" w:rsidR="00000000" w:rsidRPr="00000000">
              <w:rPr>
                <w:rFonts w:ascii="Arial" w:cs="Arial" w:eastAsia="Arial" w:hAnsi="Arial"/>
                <w:sz w:val="20"/>
                <w:szCs w:val="20"/>
                <w:rtl w:val="0"/>
              </w:rPr>
              <w:t xml:space="preserve"> </w:t>
            </w:r>
          </w:p>
        </w:tc>
        <w:tc>
          <w:tcPr>
            <w:gridSpan w:val="2"/>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1F">
            <w:pPr>
              <w:spacing w:after="0" w:line="240" w:lineRule="auto"/>
              <w:rPr>
                <w:rFonts w:ascii="Arial" w:cs="Arial" w:eastAsia="Arial" w:hAnsi="Arial"/>
                <w:sz w:val="20"/>
                <w:szCs w:val="20"/>
              </w:rPr>
            </w:pPr>
            <w:r w:rsidDel="00000000" w:rsidR="00000000" w:rsidRPr="00000000">
              <w:rPr>
                <w:rtl w:val="0"/>
              </w:rPr>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1">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SUBFUNÇÃO </w:t>
            </w:r>
            <w:r w:rsidDel="00000000" w:rsidR="00000000" w:rsidRPr="00000000">
              <w:rPr>
                <w:rFonts w:ascii="Arial" w:cs="Arial" w:eastAsia="Arial" w:hAnsi="Arial"/>
                <w:sz w:val="20"/>
                <w:szCs w:val="20"/>
                <w:rtl w:val="0"/>
              </w:rPr>
              <w:t xml:space="preserve"> </w:t>
            </w:r>
          </w:p>
        </w:tc>
        <w:tc>
          <w:tcPr>
            <w:tcBorders>
              <w:top w:color="000000" w:space="0" w:sz="4" w:val="single"/>
              <w:left w:color="353535" w:space="0" w:sz="6" w:val="single"/>
              <w:bottom w:color="353535" w:space="0" w:sz="6" w:val="single"/>
              <w:right w:color="353535" w:space="0" w:sz="6" w:val="single"/>
            </w:tcBorders>
            <w:shd w:fill="auto" w:val="clear"/>
            <w:vAlign w:val="center"/>
          </w:tcPr>
          <w:p w:rsidR="00000000" w:rsidDel="00000000" w:rsidP="00000000" w:rsidRDefault="00000000" w:rsidRPr="00000000" w14:paraId="00000022">
            <w:pPr>
              <w:spacing w:after="0" w:line="240" w:lineRule="auto"/>
              <w:rPr>
                <w:rFonts w:ascii="Arial" w:cs="Arial" w:eastAsia="Arial" w:hAnsi="Arial"/>
                <w:sz w:val="20"/>
                <w:szCs w:val="20"/>
              </w:rPr>
            </w:pPr>
            <w:r w:rsidDel="00000000" w:rsidR="00000000" w:rsidRPr="00000000">
              <w:rPr>
                <w:rtl w:val="0"/>
              </w:rPr>
            </w:r>
          </w:p>
        </w:tc>
      </w:tr>
      <w:tr>
        <w:trPr>
          <w:cantSplit w:val="0"/>
          <w:trHeight w:val="311" w:hRule="atLeast"/>
          <w:tblHeader w:val="0"/>
        </w:trPr>
        <w:tc>
          <w:tcPr>
            <w:gridSpan w:val="5"/>
            <w:tcBorders>
              <w:top w:color="353535" w:space="0" w:sz="6" w:val="single"/>
              <w:left w:color="353535" w:space="0" w:sz="6" w:val="single"/>
              <w:bottom w:color="353535" w:space="0" w:sz="6" w:val="single"/>
              <w:right w:color="353535" w:space="0" w:sz="6" w:val="single"/>
            </w:tcBorders>
            <w:shd w:fill="eaeaea" w:val="clear"/>
            <w:vAlign w:val="center"/>
          </w:tcPr>
          <w:p w:rsidR="00000000" w:rsidDel="00000000" w:rsidP="00000000" w:rsidRDefault="00000000" w:rsidRPr="00000000" w14:paraId="00000023">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METAS FÍSICO-FINANCEIRAS DA AÇÃO ORÇAMENTÁRIA – ANO 2024</w:t>
            </w:r>
            <w:r w:rsidDel="00000000" w:rsidR="00000000" w:rsidRPr="00000000">
              <w:rPr>
                <w:rtl w:val="0"/>
              </w:rPr>
            </w:r>
          </w:p>
        </w:tc>
      </w:tr>
      <w:tr>
        <w:trPr>
          <w:cantSplit w:val="0"/>
          <w:trHeight w:val="435" w:hRule="atLeast"/>
          <w:tblHeader w:val="0"/>
        </w:trPr>
        <w:tc>
          <w:tcPr>
            <w:tcBorders>
              <w:top w:color="353535" w:space="0" w:sz="6" w:val="single"/>
              <w:left w:color="333333" w:space="0" w:sz="6" w:val="single"/>
              <w:bottom w:color="000000" w:space="0" w:sz="4" w:val="single"/>
              <w:right w:color="000000" w:space="0" w:sz="4" w:val="single"/>
            </w:tcBorders>
            <w:shd w:fill="auto" w:val="clear"/>
            <w:vAlign w:val="center"/>
          </w:tcPr>
          <w:p w:rsidR="00000000" w:rsidDel="00000000" w:rsidP="00000000" w:rsidRDefault="00000000" w:rsidRPr="00000000" w14:paraId="00000028">
            <w:pPr>
              <w:spacing w:after="0" w:line="240" w:lineRule="auto"/>
              <w:jc w:val="cente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w:t>
            </w:r>
          </w:p>
        </w:tc>
        <w:tc>
          <w:tcPr>
            <w:tcBorders>
              <w:top w:color="000000" w:space="0" w:sz="0" w:val="nil"/>
              <w:left w:color="000000" w:space="0" w:sz="4" w:val="single"/>
              <w:bottom w:color="000000" w:space="0" w:sz="4" w:val="single"/>
              <w:right w:color="000000" w:space="0" w:sz="0" w:val="nil"/>
            </w:tcBorders>
            <w:shd w:fill="auto" w:val="clear"/>
            <w:vAlign w:val="center"/>
          </w:tcPr>
          <w:p w:rsidR="00000000" w:rsidDel="00000000" w:rsidP="00000000" w:rsidRDefault="00000000" w:rsidRPr="00000000" w14:paraId="00000029">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5.000.000,00</w:t>
            </w:r>
          </w:p>
        </w:tc>
        <w:tc>
          <w:tcPr>
            <w:tcBorders>
              <w:top w:color="000000" w:space="0" w:sz="0" w:val="nil"/>
              <w:left w:color="000000" w:space="0" w:sz="0" w:val="nil"/>
              <w:bottom w:color="000000" w:space="0" w:sz="4" w:val="single"/>
              <w:right w:color="000000" w:space="0" w:sz="0" w:val="nil"/>
            </w:tcBorders>
            <w:shd w:fill="auto" w:val="clear"/>
            <w:vAlign w:val="center"/>
          </w:tcPr>
          <w:p w:rsidR="00000000" w:rsidDel="00000000" w:rsidP="00000000" w:rsidRDefault="00000000" w:rsidRPr="00000000" w14:paraId="0000002A">
            <w:pPr>
              <w:spacing w:after="0" w:line="240" w:lineRule="auto"/>
              <w:jc w:val="center"/>
              <w:rPr>
                <w:rFonts w:ascii="Arial" w:cs="Arial" w:eastAsia="Arial" w:hAnsi="Arial"/>
                <w:sz w:val="20"/>
                <w:szCs w:val="20"/>
              </w:rPr>
            </w:pPr>
            <w:r w:rsidDel="00000000" w:rsidR="00000000" w:rsidRPr="00000000">
              <w:rPr>
                <w:rtl w:val="0"/>
              </w:rPr>
            </w:r>
          </w:p>
        </w:tc>
        <w:tc>
          <w:tcPr>
            <w:gridSpan w:val="2"/>
            <w:tcBorders>
              <w:top w:color="000000" w:space="0" w:sz="0" w:val="nil"/>
              <w:left w:color="000000" w:space="0" w:sz="0" w:val="nil"/>
              <w:bottom w:color="000000" w:space="0" w:sz="4" w:val="single"/>
              <w:right w:color="000000" w:space="0" w:sz="4" w:val="single"/>
            </w:tcBorders>
            <w:shd w:fill="auto" w:val="clear"/>
            <w:vAlign w:val="center"/>
          </w:tcPr>
          <w:p w:rsidR="00000000" w:rsidDel="00000000" w:rsidP="00000000" w:rsidRDefault="00000000" w:rsidRPr="00000000" w14:paraId="0000002B">
            <w:pPr>
              <w:spacing w:after="0" w:line="240" w:lineRule="auto"/>
              <w:jc w:val="center"/>
              <w:rPr>
                <w:rFonts w:ascii="Arial" w:cs="Arial" w:eastAsia="Arial" w:hAnsi="Arial"/>
                <w:sz w:val="20"/>
                <w:szCs w:val="20"/>
              </w:rPr>
            </w:pPr>
            <w:r w:rsidDel="00000000" w:rsidR="00000000" w:rsidRPr="00000000">
              <w:rPr>
                <w:rtl w:val="0"/>
              </w:rPr>
            </w:r>
          </w:p>
        </w:tc>
      </w:tr>
    </w:tbl>
    <w:p w:rsidR="00000000" w:rsidDel="00000000" w:rsidP="00000000" w:rsidRDefault="00000000" w:rsidRPr="00000000" w14:paraId="0000002D">
      <w:pPr>
        <w:spacing w:after="120" w:lineRule="auto"/>
        <w:jc w:val="both"/>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2E">
      <w:pPr>
        <w:spacing w:after="120" w:lineRule="auto"/>
        <w:jc w:val="both"/>
        <w:rPr>
          <w:rFonts w:ascii="Arial" w:cs="Arial" w:eastAsia="Arial" w:hAnsi="Arial"/>
          <w:sz w:val="24"/>
          <w:szCs w:val="24"/>
        </w:rPr>
      </w:pPr>
      <w:r w:rsidDel="00000000" w:rsidR="00000000" w:rsidRPr="00000000">
        <w:rPr>
          <w:rFonts w:ascii="Arial" w:cs="Arial" w:eastAsia="Arial" w:hAnsi="Arial"/>
          <w:b w:val="1"/>
          <w:sz w:val="24"/>
          <w:szCs w:val="24"/>
          <w:rtl w:val="0"/>
        </w:rPr>
        <w:t xml:space="preserve">Art. 2º </w:t>
      </w:r>
      <w:r w:rsidDel="00000000" w:rsidR="00000000" w:rsidRPr="00000000">
        <w:rPr>
          <w:rFonts w:ascii="Arial" w:cs="Arial" w:eastAsia="Arial" w:hAnsi="Arial"/>
          <w:sz w:val="24"/>
          <w:szCs w:val="24"/>
          <w:rtl w:val="0"/>
        </w:rPr>
        <w:t xml:space="preserve">- Os valores para a execução da ação acima, serão compensados conforme quadro abaixo:</w:t>
      </w:r>
    </w:p>
    <w:p w:rsidR="00000000" w:rsidDel="00000000" w:rsidP="00000000" w:rsidRDefault="00000000" w:rsidRPr="00000000" w14:paraId="0000002F">
      <w:pPr>
        <w:spacing w:after="120" w:lineRule="auto"/>
        <w:jc w:val="both"/>
        <w:rPr>
          <w:rFonts w:ascii="Arial" w:cs="Arial" w:eastAsia="Arial" w:hAnsi="Arial"/>
          <w:sz w:val="20"/>
          <w:szCs w:val="20"/>
        </w:rPr>
      </w:pPr>
      <w:r w:rsidDel="00000000" w:rsidR="00000000" w:rsidRPr="00000000">
        <w:rPr>
          <w:rtl w:val="0"/>
        </w:rPr>
      </w:r>
    </w:p>
    <w:tbl>
      <w:tblPr>
        <w:tblStyle w:val="Table2"/>
        <w:tblW w:w="8488.0" w:type="dxa"/>
        <w:jc w:val="left"/>
        <w:tblBorders>
          <w:top w:color="000000" w:space="0" w:sz="6" w:val="single"/>
          <w:left w:color="000000" w:space="0" w:sz="6" w:val="single"/>
          <w:bottom w:color="000000" w:space="0" w:sz="6" w:val="single"/>
          <w:right w:color="000000" w:space="0" w:sz="6" w:val="single"/>
        </w:tblBorders>
        <w:tblLayout w:type="fixed"/>
        <w:tblLook w:val="0400"/>
      </w:tblPr>
      <w:tblGrid>
        <w:gridCol w:w="2431"/>
        <w:gridCol w:w="6057"/>
        <w:tblGridChange w:id="0">
          <w:tblGrid>
            <w:gridCol w:w="2431"/>
            <w:gridCol w:w="6057"/>
          </w:tblGrid>
        </w:tblGridChange>
      </w:tblGrid>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0">
            <w:pPr>
              <w:spacing w:after="0" w:line="240" w:lineRule="auto"/>
              <w:rPr>
                <w:rFonts w:ascii="Arial" w:cs="Arial" w:eastAsia="Arial" w:hAnsi="Arial"/>
                <w:b w:val="1"/>
                <w:sz w:val="20"/>
                <w:szCs w:val="20"/>
              </w:rPr>
            </w:pPr>
            <w:bookmarkStart w:colFirst="0" w:colLast="0" w:name="_heading=h.gjdgxs" w:id="0"/>
            <w:bookmarkEnd w:id="0"/>
            <w:r w:rsidDel="00000000" w:rsidR="00000000" w:rsidRPr="00000000">
              <w:rPr>
                <w:rFonts w:ascii="Arial" w:cs="Arial" w:eastAsia="Arial" w:hAnsi="Arial"/>
                <w:b w:val="1"/>
                <w:sz w:val="20"/>
                <w:szCs w:val="20"/>
                <w:rtl w:val="0"/>
              </w:rPr>
              <w:t xml:space="preserve">ÓRGÃO/UNIDADE ORÇAMENTÁRIA </w:t>
            </w:r>
            <w:r w:rsidDel="00000000" w:rsidR="00000000" w:rsidRPr="00000000">
              <w:rPr>
                <w:rFonts w:ascii="Arial" w:cs="Arial" w:eastAsia="Arial" w:hAnsi="Arial"/>
                <w:sz w:val="20"/>
                <w:szCs w:val="20"/>
                <w:rtl w:val="0"/>
              </w:rPr>
              <w:t xml:space="preserve"> </w:t>
            </w:r>
            <w:r w:rsidDel="00000000" w:rsidR="00000000" w:rsidRPr="00000000">
              <w:rPr>
                <w:rtl w:val="0"/>
              </w:rPr>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1">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53.51</w:t>
            </w:r>
          </w:p>
          <w:p w:rsidR="00000000" w:rsidDel="00000000" w:rsidP="00000000" w:rsidRDefault="00000000" w:rsidRPr="00000000" w14:paraId="00000032">
            <w:pPr>
              <w:spacing w:after="0" w:line="276" w:lineRule="auto"/>
              <w:rPr>
                <w:rFonts w:ascii="Arial" w:cs="Arial" w:eastAsia="Arial" w:hAnsi="Arial"/>
                <w:sz w:val="20"/>
                <w:szCs w:val="20"/>
              </w:rPr>
            </w:pPr>
            <w:r w:rsidDel="00000000" w:rsidR="00000000" w:rsidRPr="00000000">
              <w:rPr>
                <w:rtl w:val="0"/>
              </w:rPr>
            </w:r>
          </w:p>
        </w:tc>
      </w:tr>
      <w:tr>
        <w:trPr>
          <w:cantSplit w:val="0"/>
          <w:trHeight w:val="274" w:hRule="atLeast"/>
          <w:tblHeader w:val="0"/>
        </w:trPr>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3">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FUNCIONAL PROGRAMÁTICA (PROGRAMA DE TRABALHO)</w:t>
            </w:r>
          </w:p>
        </w:tc>
        <w:tc>
          <w:tcPr>
            <w:tcBorders>
              <w:top w:color="353535" w:space="0" w:sz="6" w:val="single"/>
              <w:left w:color="353535" w:space="0" w:sz="6" w:val="single"/>
              <w:bottom w:color="333333" w:space="0" w:sz="6" w:val="single"/>
              <w:right w:color="353535" w:space="0" w:sz="6" w:val="single"/>
            </w:tcBorders>
            <w:shd w:fill="auto" w:val="clear"/>
            <w:vAlign w:val="center"/>
          </w:tcPr>
          <w:p w:rsidR="00000000" w:rsidDel="00000000" w:rsidP="00000000" w:rsidRDefault="00000000" w:rsidRPr="00000000" w14:paraId="00000034">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15.122.0145.4191</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5">
            <w:pPr>
              <w:spacing w:after="0" w:line="240" w:lineRule="auto"/>
              <w:rPr>
                <w:rFonts w:ascii="Arial" w:cs="Arial" w:eastAsia="Arial" w:hAnsi="Arial"/>
                <w:sz w:val="20"/>
                <w:szCs w:val="20"/>
              </w:rPr>
            </w:pPr>
            <w:r w:rsidDel="00000000" w:rsidR="00000000" w:rsidRPr="00000000">
              <w:rPr>
                <w:rFonts w:ascii="Arial" w:cs="Arial" w:eastAsia="Arial" w:hAnsi="Arial"/>
                <w:b w:val="1"/>
                <w:sz w:val="20"/>
                <w:szCs w:val="20"/>
                <w:rtl w:val="0"/>
              </w:rPr>
              <w:t xml:space="preserve">META FINANCEIRA PLOA 2024</w:t>
            </w:r>
            <w:r w:rsidDel="00000000" w:rsidR="00000000" w:rsidRPr="00000000">
              <w:rPr>
                <w:rtl w:val="0"/>
              </w:rPr>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6">
            <w:pPr>
              <w:spacing w:after="0" w:line="276"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R$ 31.918.033,16</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7">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PROPOSTO PARA COMPENSAÇÃO NA EMENDA</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8">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5.000.000,00</w:t>
            </w:r>
          </w:p>
        </w:tc>
      </w:tr>
      <w:tr>
        <w:trPr>
          <w:cantSplit w:val="0"/>
          <w:trHeight w:val="300" w:hRule="atLeast"/>
          <w:tblHeader w:val="0"/>
        </w:trPr>
        <w:tc>
          <w:tcPr>
            <w:tcBorders>
              <w:top w:color="353535" w:space="0" w:sz="6" w:val="single"/>
              <w:left w:color="353535"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9">
            <w:pPr>
              <w:spacing w:after="0" w:line="240" w:lineRule="auto"/>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VALOR FINAL PROPOSTO</w:t>
            </w:r>
          </w:p>
        </w:tc>
        <w:tc>
          <w:tcPr>
            <w:tcBorders>
              <w:top w:color="353535" w:space="0" w:sz="6" w:val="single"/>
              <w:left w:color="333333" w:space="0" w:sz="6" w:val="single"/>
              <w:bottom w:color="353535" w:space="0" w:sz="6" w:val="single"/>
              <w:right w:color="333333" w:space="0" w:sz="6" w:val="single"/>
            </w:tcBorders>
            <w:shd w:fill="auto" w:val="clear"/>
            <w:vAlign w:val="center"/>
          </w:tcPr>
          <w:p w:rsidR="00000000" w:rsidDel="00000000" w:rsidP="00000000" w:rsidRDefault="00000000" w:rsidRPr="00000000" w14:paraId="0000003A">
            <w:pPr>
              <w:spacing w:after="0" w:line="240" w:lineRule="auto"/>
              <w:rPr>
                <w:rFonts w:ascii="Arial" w:cs="Arial" w:eastAsia="Arial" w:hAnsi="Arial"/>
                <w:sz w:val="20"/>
                <w:szCs w:val="20"/>
              </w:rPr>
            </w:pPr>
            <w:r w:rsidDel="00000000" w:rsidR="00000000" w:rsidRPr="00000000">
              <w:rPr>
                <w:rFonts w:ascii="Arial" w:cs="Arial" w:eastAsia="Arial" w:hAnsi="Arial"/>
                <w:sz w:val="20"/>
                <w:szCs w:val="20"/>
                <w:rtl w:val="0"/>
              </w:rPr>
              <w:t xml:space="preserve">26.918.033,16</w:t>
            </w:r>
          </w:p>
        </w:tc>
      </w:tr>
    </w:tbl>
    <w:p w:rsidR="00000000" w:rsidDel="00000000" w:rsidP="00000000" w:rsidRDefault="00000000" w:rsidRPr="00000000" w14:paraId="0000003B">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C">
      <w:pPr>
        <w:spacing w:after="120" w:lineRule="auto"/>
        <w:jc w:val="left"/>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03D">
      <w:pPr>
        <w:spacing w:after="120" w:lineRule="auto"/>
        <w:jc w:val="right"/>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Plenário Brígido Tinoco, 07 de dezembro de 2023.</w:t>
      </w:r>
    </w:p>
    <w:p w:rsidR="00000000" w:rsidDel="00000000" w:rsidP="00000000" w:rsidRDefault="00000000" w:rsidRPr="00000000" w14:paraId="0000003E">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3F">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0">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1">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2">
      <w:pPr>
        <w:spacing w:after="0" w:line="240" w:lineRule="auto"/>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Professor Tulio</w:t>
      </w:r>
    </w:p>
    <w:p w:rsidR="00000000" w:rsidDel="00000000" w:rsidP="00000000" w:rsidRDefault="00000000" w:rsidRPr="00000000" w14:paraId="00000043">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4">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5">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 Paulo Eduardo Gomes                                                              Benny Briolly</w:t>
      </w:r>
    </w:p>
    <w:p w:rsidR="00000000" w:rsidDel="00000000" w:rsidP="00000000" w:rsidRDefault="00000000" w:rsidRPr="00000000" w14:paraId="00000046">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7">
      <w:pPr>
        <w:spacing w:after="0" w:line="240" w:lineRule="auto"/>
        <w:jc w:val="center"/>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8">
      <w:pPr>
        <w:spacing w:after="0" w:line="240" w:lineRule="auto"/>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JUSTIFICATIVA:</w:t>
      </w:r>
    </w:p>
    <w:p w:rsidR="00000000" w:rsidDel="00000000" w:rsidP="00000000" w:rsidRDefault="00000000" w:rsidRPr="00000000" w14:paraId="00000049">
      <w:pPr>
        <w:spacing w:after="0" w:line="240" w:lineRule="auto"/>
        <w:rPr>
          <w:rFonts w:ascii="Arial" w:cs="Arial" w:eastAsia="Arial" w:hAnsi="Arial"/>
          <w:b w:val="1"/>
          <w:sz w:val="24"/>
          <w:szCs w:val="24"/>
        </w:rPr>
      </w:pPr>
      <w:r w:rsidDel="00000000" w:rsidR="00000000" w:rsidRPr="00000000">
        <w:rPr>
          <w:rtl w:val="0"/>
        </w:rPr>
      </w:r>
    </w:p>
    <w:p w:rsidR="00000000" w:rsidDel="00000000" w:rsidP="00000000" w:rsidRDefault="00000000" w:rsidRPr="00000000" w14:paraId="0000004A">
      <w:pPr>
        <w:spacing w:after="20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implementação do projeto urbanístico desenvolvido pela Universidade Federal Fluminense (UFF) no Morro do Sabão desempenha um papel de extrema importância para garantir a permanência da população local na comunidade. Essa iniciativa busca promover a melhoria das condições de vida dos moradores, bem como o desenvolvimento sustentável e a inclusão social na região.</w:t>
      </w:r>
    </w:p>
    <w:p w:rsidR="00000000" w:rsidDel="00000000" w:rsidP="00000000" w:rsidRDefault="00000000" w:rsidRPr="00000000" w14:paraId="0000004B">
      <w:pPr>
        <w:spacing w:after="20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Morro do Sabão, como muitas outras comunidades em áreas urbanas, enfrenta uma série de desafios socioeconômicos e urbanísticos. Dentre esses desafios, destacam-se a falta de infraestrutura adequada, a carência de serviços básicos, a precariedade das moradias e a ausência de espaços públicos de qualidade. Esses fatores contribuem para a segregação social, a marginalização e a exclusão dos residentes locais.</w:t>
      </w:r>
    </w:p>
    <w:p w:rsidR="00000000" w:rsidDel="00000000" w:rsidP="00000000" w:rsidRDefault="00000000" w:rsidRPr="00000000" w14:paraId="0000004C">
      <w:pPr>
        <w:spacing w:after="20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 projeto urbanístico da UFF busca reverter esse quadro, propondo soluções que visam transformar a realidade do Morro do Sabão. Uma das principais ações é a melhoria da infraestrutura, incluindo a construção ou reforma de vias de acesso, a implantação de redes de água e esgoto, a eletrificação adequada e a implementação de sistemas de drenagem pluvial. Essas intervenções básicas são fundamentais para garantir o acesso aos serviços essenciais e promover a dignidade e o bem-estar dos moradores.</w:t>
      </w:r>
    </w:p>
    <w:p w:rsidR="00000000" w:rsidDel="00000000" w:rsidP="00000000" w:rsidRDefault="00000000" w:rsidRPr="00000000" w14:paraId="0000004D">
      <w:pPr>
        <w:spacing w:after="20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disso, o projeto prioriza a construção de moradias de qualidade, com o objetivo de substituir as habitações precárias e insalubres por unidades habitacionais adequadas. Essas novas moradias são concebidas levando em consideração os princípios da sustentabilidade ambiental e da eficiência energética, promovendo a redução dos impactos ambientais e a economia de recursos.</w:t>
      </w:r>
    </w:p>
    <w:p w:rsidR="00000000" w:rsidDel="00000000" w:rsidP="00000000" w:rsidRDefault="00000000" w:rsidRPr="00000000" w14:paraId="0000004E">
      <w:pPr>
        <w:spacing w:after="20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Outro aspecto relevante do projeto é a criação de espaços públicos e áreas de convivência. Parques, praças e equipamentos comunitários são projetados para proporcionar um ambiente seguro e acolhedor, incentivando a interação social, o lazer e a prática de atividades esportivas e culturais. Esses espaços contribuem para fortalecer o senso de pertencimento dos moradores e para criar uma identidade comunitária mais sólida.</w:t>
      </w:r>
    </w:p>
    <w:p w:rsidR="00000000" w:rsidDel="00000000" w:rsidP="00000000" w:rsidRDefault="00000000" w:rsidRPr="00000000" w14:paraId="0000004F">
      <w:pPr>
        <w:spacing w:after="20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Além disso, o projeto urbanístico da UFF também inclui ações de capacitação e inclusão social. Por meio de parcerias com instituições educacionais e programas de qualificação profissional, são oferecidas oportunidades de formação e emprego para os moradores da comunidade. Essa abordagem busca não apenas melhorar as condições materiais, mas também empoderar os moradores, ampliando suas perspectivas e fortalecendo o capital social da comunidade.</w:t>
      </w:r>
    </w:p>
    <w:p w:rsidR="00000000" w:rsidDel="00000000" w:rsidP="00000000" w:rsidRDefault="00000000" w:rsidRPr="00000000" w14:paraId="00000050">
      <w:pPr>
        <w:spacing w:after="20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Ao garantir a permanência da população local no Morro do Sabão, o projeto urbanístico contribui para combater a gentrificação e o processo de remoção forçada, fenômenos comuns em áreas urbanas de grande interesse imobiliário. Através da valorização das áreas ocupadas pela comunidade e da promoção da inclusão social, o projeto busca assegurar que os moradores de longa data não sejam expulsos de suas casas e que possam desfrutar dos benefícios das melhorias implementadas.</w:t>
      </w:r>
    </w:p>
    <w:p w:rsidR="00000000" w:rsidDel="00000000" w:rsidP="00000000" w:rsidRDefault="00000000" w:rsidRPr="00000000" w14:paraId="00000051">
      <w:pPr>
        <w:spacing w:after="200" w:line="240" w:lineRule="auto"/>
        <w:jc w:val="both"/>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Em resumo, a implementação do projeto urbanístico desenvolvido pela UFF no Morro do Sabão desempenha um papel fundamental na garantia da permanência da população local na comunidade. Por meio de ações de melhoria da infraestrutura, construção de moradias adequadas, criação de espaços públicos e promoção da inclusão social, o projeto busca </w:t>
      </w:r>
    </w:p>
    <w:p w:rsidR="00000000" w:rsidDel="00000000" w:rsidP="00000000" w:rsidRDefault="00000000" w:rsidRPr="00000000" w14:paraId="00000052">
      <w:pPr>
        <w:spacing w:after="200" w:line="240" w:lineRule="auto"/>
        <w:jc w:val="both"/>
        <w:rPr>
          <w:rFonts w:ascii="Arial" w:cs="Arial" w:eastAsia="Arial" w:hAnsi="Arial"/>
          <w:b w:val="1"/>
          <w:sz w:val="24"/>
          <w:szCs w:val="24"/>
        </w:rPr>
      </w:pPr>
      <w:r w:rsidDel="00000000" w:rsidR="00000000" w:rsidRPr="00000000">
        <w:rPr>
          <w:rFonts w:ascii="Times New Roman" w:cs="Times New Roman" w:eastAsia="Times New Roman" w:hAnsi="Times New Roman"/>
          <w:rtl w:val="0"/>
        </w:rPr>
        <w:t xml:space="preserve">Transformar a realidade do Morro do Sabão, promovendo a qualidade de vida, a dignidade e a cidadania dos seus moradores. Essa iniciativa é um exemplo importante de como o planejamento urbano pode contribuir para a construção de cidades mais justas, inclusivas e sustentáveis</w:t>
      </w: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Georgia"/>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3">
    <w:pPr>
      <w:tabs>
        <w:tab w:val="center" w:leader="none" w:pos="4252"/>
        <w:tab w:val="right" w:leader="none" w:pos="8504"/>
      </w:tabs>
      <w:spacing w:after="0" w:line="240" w:lineRule="auto"/>
      <w:ind w:left="2880" w:firstLine="720"/>
      <w:rPr>
        <w:b w:val="1"/>
      </w:rPr>
    </w:pPr>
    <w:r w:rsidDel="00000000" w:rsidR="00000000" w:rsidRPr="00000000">
      <w:rPr/>
      <w:drawing>
        <wp:inline distB="0" distT="0" distL="0" distR="0">
          <wp:extent cx="558223" cy="680335"/>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558223" cy="680335"/>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tabs>
        <w:tab w:val="center" w:leader="none" w:pos="4252"/>
        <w:tab w:val="right" w:leader="none" w:pos="8504"/>
      </w:tabs>
      <w:spacing w:after="0" w:line="240" w:lineRule="auto"/>
      <w:rPr>
        <w:rFonts w:ascii="Times New Roman" w:cs="Times New Roman" w:eastAsia="Times New Roman" w:hAnsi="Times New Roman"/>
        <w:b w:val="1"/>
      </w:rPr>
    </w:pPr>
    <w:r w:rsidDel="00000000" w:rsidR="00000000" w:rsidRPr="00000000">
      <w:rPr>
        <w:b w:val="1"/>
        <w:rtl w:val="0"/>
      </w:rPr>
      <w:tab/>
    </w:r>
    <w:r w:rsidDel="00000000" w:rsidR="00000000" w:rsidRPr="00000000">
      <w:rPr>
        <w:rFonts w:ascii="Times New Roman" w:cs="Times New Roman" w:eastAsia="Times New Roman" w:hAnsi="Times New Roman"/>
        <w:b w:val="1"/>
        <w:rtl w:val="0"/>
      </w:rPr>
      <w:t xml:space="preserve">CÂMARA MUNICIPAL DE NITERÓI</w:t>
    </w:r>
  </w:p>
  <w:p w:rsidR="00000000" w:rsidDel="00000000" w:rsidP="00000000" w:rsidRDefault="00000000" w:rsidRPr="00000000" w14:paraId="00000055">
    <w:pPr>
      <w:tabs>
        <w:tab w:val="center" w:leader="none" w:pos="4252"/>
        <w:tab w:val="right" w:leader="none" w:pos="8504"/>
      </w:tabs>
      <w:spacing w:after="0" w:line="240" w:lineRule="auto"/>
      <w:jc w:val="center"/>
      <w:rPr/>
    </w:pPr>
    <w:r w:rsidDel="00000000" w:rsidR="00000000" w:rsidRPr="00000000">
      <w:rPr>
        <w:rFonts w:ascii="Times New Roman" w:cs="Times New Roman" w:eastAsia="Times New Roman" w:hAnsi="Times New Roman"/>
        <w:b w:val="1"/>
        <w:rtl w:val="0"/>
      </w:rPr>
      <w:t xml:space="preserve">BANCADA DO PARTIDO SOCIALISMO E LIBERDADE</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pt-BR"/>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spacing w:line="240" w:lineRule="auto"/>
    </w:pPr>
    <w:rPr>
      <w:rFonts w:ascii="Times New Roman" w:cs="Times New Roman" w:eastAsia="Times New Roman" w:hAnsi="Times New Roman"/>
      <w:b w:val="1"/>
      <w:sz w:val="20"/>
      <w:szCs w:val="20"/>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v0V+mKxH2JgWsPh8AcQ4czP6iiQ==">CgMxLjAyCGguZ2pkZ3hzOAByITFZS25oelp3Rjh4TGJoVWpQQTBzUFpsOXI0LUhtZGZUdQ==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