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6585E" w:rsidRDefault="00F8196A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</w:t>
      </w:r>
      <w:r w:rsidR="00AF1FDE">
        <w:rPr>
          <w:rFonts w:ascii="Tahoma" w:eastAsia="Tahoma" w:hAnsi="Tahoma" w:cs="Tahoma"/>
          <w:b/>
        </w:rPr>
        <w:t>3</w:t>
      </w:r>
    </w:p>
    <w:p w:rsidR="00C6585E" w:rsidRDefault="00C6585E">
      <w:pPr>
        <w:rPr>
          <w:rFonts w:ascii="Tahoma" w:eastAsia="Tahoma" w:hAnsi="Tahoma" w:cs="Tahoma"/>
          <w:b/>
        </w:rPr>
      </w:pPr>
    </w:p>
    <w:p w:rsidR="00C6585E" w:rsidRDefault="00F8196A">
      <w:pPr>
        <w:pStyle w:val="Ttulo1"/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Aditiva ao Projeto de Lei Nº. </w:t>
      </w:r>
      <w:r w:rsidR="00BB1DB4">
        <w:rPr>
          <w:rFonts w:ascii="Tahoma" w:eastAsia="Tahoma" w:hAnsi="Tahoma" w:cs="Tahoma"/>
          <w:b/>
        </w:rPr>
        <w:t>0022</w:t>
      </w:r>
      <w:r w:rsidR="00AF1FDE">
        <w:rPr>
          <w:rFonts w:ascii="Tahoma" w:eastAsia="Tahoma" w:hAnsi="Tahoma" w:cs="Tahoma"/>
          <w:b/>
        </w:rPr>
        <w:t>1</w:t>
      </w:r>
      <w:r>
        <w:rPr>
          <w:rFonts w:ascii="Tahoma" w:eastAsia="Tahoma" w:hAnsi="Tahoma" w:cs="Tahoma"/>
          <w:b/>
        </w:rPr>
        <w:t>/202</w:t>
      </w:r>
      <w:r w:rsidR="001668C9">
        <w:rPr>
          <w:rFonts w:ascii="Tahoma" w:eastAsia="Tahoma" w:hAnsi="Tahoma" w:cs="Tahoma"/>
          <w:b/>
        </w:rPr>
        <w:t>3</w:t>
      </w:r>
    </w:p>
    <w:p w:rsidR="00C6585E" w:rsidRDefault="00F8196A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C6585E" w:rsidRDefault="00F8196A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C6585E" w:rsidRDefault="00C6585E">
      <w:pPr>
        <w:jc w:val="center"/>
        <w:rPr>
          <w:rFonts w:ascii="Tahoma" w:eastAsia="Tahoma" w:hAnsi="Tahoma" w:cs="Tahoma"/>
        </w:rPr>
      </w:pPr>
    </w:p>
    <w:p w:rsidR="00C6585E" w:rsidRDefault="00F8196A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>Acrescenta-se o artigo 3</w:t>
      </w:r>
      <w:r w:rsidR="00C43E4F">
        <w:rPr>
          <w:rFonts w:ascii="Tahoma" w:eastAsia="Tahoma" w:hAnsi="Tahoma" w:cs="Tahoma"/>
          <w:b/>
        </w:rPr>
        <w:t>6</w:t>
      </w:r>
      <w:r w:rsidR="00286CDF">
        <w:rPr>
          <w:rFonts w:ascii="Tahoma" w:eastAsia="Tahoma" w:hAnsi="Tahoma" w:cs="Tahoma"/>
          <w:b/>
        </w:rPr>
        <w:t xml:space="preserve"> ao Capítulo III</w:t>
      </w:r>
      <w:r w:rsidR="00AF1FDE">
        <w:rPr>
          <w:rFonts w:ascii="Tahoma" w:eastAsia="Tahoma" w:hAnsi="Tahoma" w:cs="Tahoma"/>
        </w:rPr>
        <w:t>,</w:t>
      </w:r>
      <w:r w:rsidR="00C43E4F" w:rsidRPr="00C43E4F">
        <w:rPr>
          <w:rFonts w:ascii="Tahoma" w:eastAsia="Tahoma" w:hAnsi="Tahoma" w:cs="Tahoma"/>
        </w:rPr>
        <w:t xml:space="preserve"> </w:t>
      </w:r>
      <w:r w:rsidR="00C43E4F">
        <w:rPr>
          <w:rFonts w:ascii="Tahoma" w:eastAsia="Tahoma" w:hAnsi="Tahoma" w:cs="Tahoma"/>
        </w:rPr>
        <w:t xml:space="preserve">e </w:t>
      </w:r>
      <w:r w:rsidR="00BB1DB4">
        <w:rPr>
          <w:rFonts w:ascii="Tahoma" w:eastAsia="Tahoma" w:hAnsi="Tahoma" w:cs="Tahoma"/>
        </w:rPr>
        <w:t>renumeram</w:t>
      </w:r>
      <w:r w:rsidR="00C43E4F">
        <w:rPr>
          <w:rFonts w:ascii="Tahoma" w:eastAsia="Tahoma" w:hAnsi="Tahoma" w:cs="Tahoma"/>
        </w:rPr>
        <w:t xml:space="preserve"> os subsequentes,</w:t>
      </w:r>
      <w:r w:rsidR="00AF1FDE">
        <w:rPr>
          <w:rFonts w:ascii="Tahoma" w:eastAsia="Tahoma" w:hAnsi="Tahoma" w:cs="Tahoma"/>
        </w:rPr>
        <w:t xml:space="preserve"> ao Projeto de Lei Nº </w:t>
      </w:r>
      <w:r w:rsidR="00BB1DB4">
        <w:rPr>
          <w:rFonts w:ascii="Tahoma" w:eastAsia="Tahoma" w:hAnsi="Tahoma" w:cs="Tahoma"/>
        </w:rPr>
        <w:t>0022</w:t>
      </w:r>
      <w:r w:rsidR="00AF1FDE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1668C9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C6585E" w:rsidRDefault="00C6585E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highlight w:val="white"/>
        </w:rPr>
      </w:pPr>
    </w:p>
    <w:p w:rsidR="00C6585E" w:rsidRDefault="00C6585E">
      <w:pPr>
        <w:ind w:left="567"/>
        <w:jc w:val="both"/>
        <w:rPr>
          <w:rFonts w:ascii="Tahoma" w:eastAsia="Tahoma" w:hAnsi="Tahoma" w:cs="Tahoma"/>
        </w:rPr>
      </w:pPr>
    </w:p>
    <w:p w:rsidR="00C6585E" w:rsidRDefault="00F8196A">
      <w:pPr>
        <w:spacing w:line="360" w:lineRule="auto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Art.1º - Acrescenta-se o artigo </w:t>
      </w:r>
      <w:r w:rsidR="00286CDF">
        <w:rPr>
          <w:rFonts w:ascii="Tahoma" w:eastAsia="Tahoma" w:hAnsi="Tahoma" w:cs="Tahoma"/>
          <w:b/>
        </w:rPr>
        <w:t>36 ao Capítulo III</w:t>
      </w:r>
      <w:r w:rsidR="00AF1FDE">
        <w:rPr>
          <w:rFonts w:ascii="Tahoma" w:eastAsia="Tahoma" w:hAnsi="Tahoma" w:cs="Tahoma"/>
        </w:rPr>
        <w:t xml:space="preserve">, </w:t>
      </w:r>
      <w:r w:rsidR="00C43E4F">
        <w:rPr>
          <w:rFonts w:ascii="Tahoma" w:eastAsia="Tahoma" w:hAnsi="Tahoma" w:cs="Tahoma"/>
        </w:rPr>
        <w:t xml:space="preserve">e </w:t>
      </w:r>
      <w:r w:rsidR="00BB1DB4">
        <w:rPr>
          <w:rFonts w:ascii="Tahoma" w:eastAsia="Tahoma" w:hAnsi="Tahoma" w:cs="Tahoma"/>
        </w:rPr>
        <w:t>renumeram</w:t>
      </w:r>
      <w:r w:rsidR="00C43E4F">
        <w:rPr>
          <w:rFonts w:ascii="Tahoma" w:eastAsia="Tahoma" w:hAnsi="Tahoma" w:cs="Tahoma"/>
        </w:rPr>
        <w:t xml:space="preserve"> os subsequentes, </w:t>
      </w:r>
      <w:r w:rsidR="00AF1FDE">
        <w:rPr>
          <w:rFonts w:ascii="Tahoma" w:eastAsia="Tahoma" w:hAnsi="Tahoma" w:cs="Tahoma"/>
        </w:rPr>
        <w:t xml:space="preserve">ao Projeto de Lei Nº </w:t>
      </w:r>
      <w:r w:rsidR="001668C9">
        <w:rPr>
          <w:rFonts w:ascii="Tahoma" w:eastAsia="Tahoma" w:hAnsi="Tahoma" w:cs="Tahoma"/>
        </w:rPr>
        <w:t>00221/2023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 xml:space="preserve">, </w:t>
      </w:r>
      <w:r>
        <w:rPr>
          <w:rFonts w:ascii="Tahoma" w:eastAsia="Tahoma" w:hAnsi="Tahoma" w:cs="Tahoma"/>
          <w:highlight w:val="white"/>
        </w:rPr>
        <w:t>com a seguinte redação:</w:t>
      </w:r>
    </w:p>
    <w:p w:rsidR="00C6585E" w:rsidRDefault="00C6585E">
      <w:pPr>
        <w:spacing w:line="360" w:lineRule="auto"/>
        <w:jc w:val="both"/>
      </w:pPr>
    </w:p>
    <w:p w:rsidR="00C6585E" w:rsidRDefault="00F8196A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Art. 3</w:t>
      </w:r>
      <w:r w:rsidR="00286CDF">
        <w:rPr>
          <w:rFonts w:ascii="Tahoma" w:eastAsia="Tahoma" w:hAnsi="Tahoma" w:cs="Tahoma"/>
        </w:rPr>
        <w:t>6</w:t>
      </w:r>
      <w:r>
        <w:rPr>
          <w:rFonts w:ascii="Tahoma" w:eastAsia="Tahoma" w:hAnsi="Tahoma" w:cs="Tahoma"/>
        </w:rPr>
        <w:t xml:space="preserve"> Os loteamentos serão entregues com infraestrutura urbana implantada, constituída pelos equipamentos de escoamento das águas pluviais, iluminação pública, esgotamento sanitário, abastecimento de água potável, energia elétrica pública e domiciliar e sistema viário, incluindo ciclovias, vias de pedestre e as calçadas. </w:t>
      </w:r>
    </w:p>
    <w:p w:rsidR="00C6585E" w:rsidRDefault="00C6585E">
      <w:pPr>
        <w:spacing w:line="360" w:lineRule="auto"/>
        <w:jc w:val="both"/>
        <w:rPr>
          <w:rFonts w:ascii="Tahoma" w:eastAsia="Tahoma" w:hAnsi="Tahoma" w:cs="Tahoma"/>
        </w:rPr>
      </w:pPr>
    </w:p>
    <w:p w:rsidR="00C6585E" w:rsidRDefault="00F8196A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§ 1º O sistema de escoamento de águas pluviais deve comportar equipamentos de retenção ou infiltração e de dissipação de energia, de modo a atenuar os picos de cheias, </w:t>
      </w:r>
      <w:proofErr w:type="gramStart"/>
      <w:r>
        <w:rPr>
          <w:rFonts w:ascii="Tahoma" w:eastAsia="Tahoma" w:hAnsi="Tahoma" w:cs="Tahoma"/>
        </w:rPr>
        <w:t>favorecer</w:t>
      </w:r>
      <w:proofErr w:type="gramEnd"/>
      <w:r>
        <w:rPr>
          <w:rFonts w:ascii="Tahoma" w:eastAsia="Tahoma" w:hAnsi="Tahoma" w:cs="Tahoma"/>
        </w:rPr>
        <w:t xml:space="preserve"> a recarga das águas subterrâneas e prevenir a instalação de processos erosivos. </w:t>
      </w:r>
    </w:p>
    <w:p w:rsidR="00C6585E" w:rsidRDefault="00C6585E">
      <w:pPr>
        <w:spacing w:line="360" w:lineRule="auto"/>
        <w:jc w:val="both"/>
        <w:rPr>
          <w:rFonts w:ascii="Tahoma" w:eastAsia="Tahoma" w:hAnsi="Tahoma" w:cs="Tahoma"/>
        </w:rPr>
      </w:pPr>
    </w:p>
    <w:p w:rsidR="00286CDF" w:rsidRDefault="00286CDF">
      <w:pPr>
        <w:spacing w:line="360" w:lineRule="auto"/>
        <w:jc w:val="both"/>
        <w:rPr>
          <w:rFonts w:ascii="Tahoma" w:eastAsia="Tahoma" w:hAnsi="Tahoma" w:cs="Tahoma"/>
        </w:rPr>
      </w:pPr>
    </w:p>
    <w:p w:rsidR="00C6585E" w:rsidRDefault="00F8196A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lastRenderedPageBreak/>
        <w:t xml:space="preserve">§ 2º O sistema de distribuição de energia elétrica deve ser implantado por meio de dutos enterrados. </w:t>
      </w:r>
    </w:p>
    <w:p w:rsidR="00C6585E" w:rsidRDefault="00C6585E">
      <w:pPr>
        <w:spacing w:line="360" w:lineRule="auto"/>
        <w:jc w:val="both"/>
        <w:rPr>
          <w:rFonts w:ascii="Tahoma" w:eastAsia="Tahoma" w:hAnsi="Tahoma" w:cs="Tahoma"/>
        </w:rPr>
      </w:pPr>
    </w:p>
    <w:p w:rsidR="00C6585E" w:rsidRDefault="00F8196A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§ 3º As calçadas devem ser implantadas concomitantemente às vias de circulação, devendo ainda: </w:t>
      </w:r>
    </w:p>
    <w:p w:rsidR="00C6585E" w:rsidRDefault="00C6585E">
      <w:pPr>
        <w:spacing w:line="360" w:lineRule="auto"/>
        <w:jc w:val="both"/>
        <w:rPr>
          <w:rFonts w:ascii="Tahoma" w:eastAsia="Tahoma" w:hAnsi="Tahoma" w:cs="Tahoma"/>
        </w:rPr>
      </w:pPr>
    </w:p>
    <w:p w:rsidR="00C6585E" w:rsidRDefault="00F8196A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I - propiciar condições adequadas de </w:t>
      </w:r>
      <w:proofErr w:type="gramStart"/>
      <w:r>
        <w:rPr>
          <w:rFonts w:ascii="Tahoma" w:eastAsia="Tahoma" w:hAnsi="Tahoma" w:cs="Tahoma"/>
        </w:rPr>
        <w:t>acessibilidade</w:t>
      </w:r>
      <w:r w:rsidR="00C16A93">
        <w:rPr>
          <w:rFonts w:ascii="Tahoma" w:eastAsia="Tahoma" w:hAnsi="Tahoma" w:cs="Tahoma"/>
        </w:rPr>
        <w:t>,</w:t>
      </w:r>
      <w:proofErr w:type="gramEnd"/>
      <w:r w:rsidR="00C16A93">
        <w:rPr>
          <w:rFonts w:ascii="Tahoma" w:eastAsia="Tahoma" w:hAnsi="Tahoma" w:cs="Tahoma"/>
        </w:rPr>
        <w:t>de acordo com a lei brasileira de inclusão e regulamentações posteriores</w:t>
      </w:r>
      <w:r>
        <w:rPr>
          <w:rFonts w:ascii="Tahoma" w:eastAsia="Tahoma" w:hAnsi="Tahoma" w:cs="Tahoma"/>
        </w:rPr>
        <w:t>;</w:t>
      </w:r>
    </w:p>
    <w:p w:rsidR="00C6585E" w:rsidRDefault="00C6585E">
      <w:pPr>
        <w:spacing w:line="360" w:lineRule="auto"/>
        <w:jc w:val="both"/>
        <w:rPr>
          <w:rFonts w:ascii="Tahoma" w:eastAsia="Tahoma" w:hAnsi="Tahoma" w:cs="Tahoma"/>
        </w:rPr>
      </w:pPr>
    </w:p>
    <w:p w:rsidR="00C6585E" w:rsidRDefault="00F8196A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II - ter no mínimo 30% (trinta por cento) de sua superfície formada por elementos permeáveis; </w:t>
      </w:r>
    </w:p>
    <w:p w:rsidR="00C6585E" w:rsidRDefault="00C6585E">
      <w:pPr>
        <w:spacing w:line="360" w:lineRule="auto"/>
        <w:jc w:val="both"/>
        <w:rPr>
          <w:rFonts w:ascii="Tahoma" w:eastAsia="Tahoma" w:hAnsi="Tahoma" w:cs="Tahoma"/>
        </w:rPr>
      </w:pPr>
    </w:p>
    <w:p w:rsidR="00C6585E" w:rsidRDefault="00F8196A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III - ter arborização implantada, obedecendo, para o plantio, o espaçamento mínimo e a especificação das espécies arbóreas definidos nas normas editadas pelo órgão ambiental competente</w:t>
      </w:r>
    </w:p>
    <w:p w:rsidR="00C6585E" w:rsidRDefault="00C6585E">
      <w:pPr>
        <w:ind w:left="567"/>
        <w:jc w:val="right"/>
        <w:rPr>
          <w:rFonts w:ascii="Tahoma" w:eastAsia="Tahoma" w:hAnsi="Tahoma" w:cs="Tahoma"/>
        </w:rPr>
      </w:pPr>
    </w:p>
    <w:p w:rsidR="00C6585E" w:rsidRDefault="00AF1FDE">
      <w:pPr>
        <w:ind w:left="567"/>
        <w:jc w:val="right"/>
        <w:rPr>
          <w:rFonts w:ascii="Tahoma" w:eastAsia="Tahoma" w:hAnsi="Tahoma" w:cs="Tahoma"/>
        </w:rPr>
      </w:pPr>
      <w:r w:rsidRPr="00A66970">
        <w:rPr>
          <w:rFonts w:ascii="Tahoma" w:hAnsi="Tahoma" w:cs="Tahoma"/>
          <w:bCs/>
          <w:sz w:val="22"/>
          <w:szCs w:val="22"/>
        </w:rPr>
        <w:t xml:space="preserve">Sala das Sessões, </w:t>
      </w:r>
      <w:r>
        <w:rPr>
          <w:rFonts w:ascii="Tahoma" w:hAnsi="Tahoma" w:cs="Tahoma"/>
          <w:bCs/>
          <w:sz w:val="22"/>
          <w:szCs w:val="22"/>
        </w:rPr>
        <w:t>26</w:t>
      </w:r>
      <w:r w:rsidRPr="00A66970">
        <w:rPr>
          <w:rFonts w:ascii="Tahoma" w:hAnsi="Tahoma" w:cs="Tahoma"/>
          <w:bCs/>
          <w:sz w:val="22"/>
          <w:szCs w:val="22"/>
        </w:rPr>
        <w:t xml:space="preserve"> de </w:t>
      </w:r>
      <w:r w:rsidR="00786B2C">
        <w:rPr>
          <w:rFonts w:ascii="Tahoma" w:hAnsi="Tahoma" w:cs="Tahoma"/>
          <w:bCs/>
          <w:sz w:val="22"/>
          <w:szCs w:val="22"/>
        </w:rPr>
        <w:t>outubro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A66970">
        <w:rPr>
          <w:rFonts w:ascii="Tahoma" w:hAnsi="Tahoma" w:cs="Tahoma"/>
          <w:bCs/>
          <w:sz w:val="22"/>
          <w:szCs w:val="22"/>
        </w:rPr>
        <w:t>de 202</w:t>
      </w:r>
      <w:r>
        <w:rPr>
          <w:rFonts w:ascii="Tahoma" w:hAnsi="Tahoma" w:cs="Tahoma"/>
          <w:bCs/>
          <w:sz w:val="22"/>
          <w:szCs w:val="22"/>
        </w:rPr>
        <w:t>3</w:t>
      </w:r>
      <w:r w:rsidR="00F8196A">
        <w:rPr>
          <w:rFonts w:ascii="Tahoma" w:eastAsia="Tahoma" w:hAnsi="Tahoma" w:cs="Tahoma"/>
        </w:rPr>
        <w:t>.</w:t>
      </w:r>
    </w:p>
    <w:p w:rsidR="00C6585E" w:rsidRDefault="00C6585E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C6585E" w:rsidRDefault="00C6585E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C6585E" w:rsidRDefault="00C6585E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C6585E" w:rsidRDefault="00C6585E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C6585E" w:rsidRDefault="00F8196A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C6585E" w:rsidRDefault="00C6585E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C6585E" w:rsidRDefault="00F8196A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C6585E">
      <w:pPr>
        <w:rPr>
          <w:rFonts w:ascii="Tahoma" w:eastAsia="Tahoma" w:hAnsi="Tahoma" w:cs="Tahoma"/>
          <w:b/>
          <w:sz w:val="22"/>
          <w:szCs w:val="22"/>
        </w:rPr>
      </w:pPr>
    </w:p>
    <w:p w:rsidR="00C6585E" w:rsidRDefault="00F8196A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AF1FDE" w:rsidRPr="00AF1FDE" w:rsidRDefault="00F8196A" w:rsidP="00AF1FDE">
      <w:pPr>
        <w:shd w:val="clear" w:color="auto" w:fill="FFFFFF"/>
        <w:spacing w:line="360" w:lineRule="auto"/>
        <w:jc w:val="both"/>
        <w:rPr>
          <w:rFonts w:ascii="Tahoma" w:eastAsia="Arial" w:hAnsi="Tahoma" w:cs="Tahoma"/>
        </w:rPr>
      </w:pPr>
      <w:r w:rsidRPr="00AF1FDE">
        <w:rPr>
          <w:rFonts w:ascii="Tahoma" w:eastAsia="Tahoma" w:hAnsi="Tahoma" w:cs="Tahoma"/>
          <w:highlight w:val="white"/>
        </w:rPr>
        <w:t xml:space="preserve">Loteamentos para empreendimentos de alto padrão ou para a construção de casas populares precisam cumprir algumas exigências, antes de receber obras. Obter licença ambiental, ter um estudo de </w:t>
      </w:r>
      <w:r w:rsidR="00AF1FDE" w:rsidRPr="00AF1FDE">
        <w:rPr>
          <w:rFonts w:ascii="Tahoma" w:eastAsia="Tahoma" w:hAnsi="Tahoma" w:cs="Tahoma"/>
          <w:highlight w:val="white"/>
        </w:rPr>
        <w:t>geotécnica</w:t>
      </w:r>
      <w:r w:rsidRPr="00AF1FDE">
        <w:rPr>
          <w:rFonts w:ascii="Tahoma" w:eastAsia="Tahoma" w:hAnsi="Tahoma" w:cs="Tahoma"/>
          <w:highlight w:val="white"/>
        </w:rPr>
        <w:t xml:space="preserve"> do solo e adequação à legislação local são alguns dos procedimentos básicos. Em seguida, o projeto deve levar em consideração a topografia do terreno, a drenagem e as instalações para saneamento básico, eletricidade e telefonia. Pavimentação e paisagismo também são relevantes. Além da localização, os loteamentos se valorizam de acordo com as benfeitorias que agregam e da infraestrutura em seu entorno</w:t>
      </w:r>
      <w:r w:rsidR="00AF1FDE" w:rsidRPr="00AF1FDE">
        <w:rPr>
          <w:rFonts w:ascii="Tahoma" w:eastAsia="Arial" w:hAnsi="Tahoma" w:cs="Tahoma"/>
        </w:rPr>
        <w:t xml:space="preserve">. </w:t>
      </w:r>
    </w:p>
    <w:p w:rsidR="00AF1FDE" w:rsidRPr="00AF1FDE" w:rsidRDefault="00AF1FDE" w:rsidP="00AF1FDE">
      <w:pPr>
        <w:shd w:val="clear" w:color="auto" w:fill="FFFFFF"/>
        <w:spacing w:line="360" w:lineRule="auto"/>
        <w:jc w:val="both"/>
        <w:rPr>
          <w:rFonts w:ascii="Tahoma" w:eastAsia="Arial" w:hAnsi="Tahoma" w:cs="Tahoma"/>
        </w:rPr>
      </w:pPr>
      <w:r w:rsidRPr="00AF1FDE">
        <w:rPr>
          <w:rFonts w:ascii="Tahoma" w:eastAsia="Arial" w:hAnsi="Tahoma" w:cs="Tahoma"/>
        </w:rPr>
        <w:t xml:space="preserve">  </w:t>
      </w:r>
    </w:p>
    <w:p w:rsidR="00C6585E" w:rsidRPr="00AF1FDE" w:rsidRDefault="00F8196A" w:rsidP="00AF1FDE">
      <w:pPr>
        <w:shd w:val="clear" w:color="auto" w:fill="FFFFFF"/>
        <w:spacing w:line="360" w:lineRule="auto"/>
        <w:jc w:val="both"/>
        <w:rPr>
          <w:rFonts w:ascii="Tahoma" w:eastAsia="Arial" w:hAnsi="Tahoma" w:cs="Tahoma"/>
        </w:rPr>
      </w:pPr>
      <w:r w:rsidRPr="00AF1FDE">
        <w:rPr>
          <w:rFonts w:ascii="Tahoma" w:eastAsia="Arial" w:hAnsi="Tahoma" w:cs="Tahoma"/>
        </w:rPr>
        <w:t xml:space="preserve">A Constituição Federal deixa </w:t>
      </w:r>
      <w:proofErr w:type="gramStart"/>
      <w:r w:rsidRPr="00AF1FDE">
        <w:rPr>
          <w:rFonts w:ascii="Tahoma" w:eastAsia="Arial" w:hAnsi="Tahoma" w:cs="Tahoma"/>
        </w:rPr>
        <w:t>expresso</w:t>
      </w:r>
      <w:proofErr w:type="gramEnd"/>
      <w:r w:rsidRPr="00AF1FDE">
        <w:rPr>
          <w:rFonts w:ascii="Tahoma" w:eastAsia="Arial" w:hAnsi="Tahoma" w:cs="Tahoma"/>
        </w:rPr>
        <w:t xml:space="preserve"> que compete aos municípios promoverem o ordenamento territorial, por meio de planejamento e controle do uso, do parcelamento e da ocupação do solo urbano. A política de desenvolvimento urbano, executada pelo poder público municipal, conforme diretrizes gerais fixadas em lei</w:t>
      </w:r>
      <w:proofErr w:type="gramStart"/>
      <w:r w:rsidRPr="00AF1FDE">
        <w:rPr>
          <w:rFonts w:ascii="Tahoma" w:eastAsia="Arial" w:hAnsi="Tahoma" w:cs="Tahoma"/>
        </w:rPr>
        <w:t>, tem</w:t>
      </w:r>
      <w:proofErr w:type="gramEnd"/>
      <w:r w:rsidRPr="00AF1FDE">
        <w:rPr>
          <w:rFonts w:ascii="Tahoma" w:eastAsia="Arial" w:hAnsi="Tahoma" w:cs="Tahoma"/>
        </w:rPr>
        <w:t xml:space="preserve"> por objetivo ordenar o pleno desenvolvimento das funções sociais da cidade e garantir o bem-estar de seus habitantes. </w:t>
      </w:r>
    </w:p>
    <w:p w:rsidR="00C6585E" w:rsidRPr="00AF1FDE" w:rsidRDefault="00F8196A" w:rsidP="00AF1FDE">
      <w:pPr>
        <w:shd w:val="clear" w:color="auto" w:fill="FFFFFF"/>
        <w:spacing w:line="360" w:lineRule="auto"/>
        <w:jc w:val="both"/>
        <w:rPr>
          <w:rFonts w:ascii="Tahoma" w:eastAsia="Arial" w:hAnsi="Tahoma" w:cs="Tahoma"/>
        </w:rPr>
      </w:pPr>
      <w:r w:rsidRPr="00AF1FDE">
        <w:rPr>
          <w:rFonts w:ascii="Tahoma" w:eastAsia="Arial" w:hAnsi="Tahoma" w:cs="Tahoma"/>
        </w:rPr>
        <w:t xml:space="preserve">  </w:t>
      </w:r>
    </w:p>
    <w:p w:rsidR="00C6585E" w:rsidRPr="00AF1FDE" w:rsidRDefault="00F8196A" w:rsidP="00AF1FDE">
      <w:pPr>
        <w:shd w:val="clear" w:color="auto" w:fill="FFFFFF"/>
        <w:spacing w:line="360" w:lineRule="auto"/>
        <w:jc w:val="both"/>
        <w:rPr>
          <w:rFonts w:ascii="Tahoma" w:eastAsia="Arial" w:hAnsi="Tahoma" w:cs="Tahoma"/>
        </w:rPr>
      </w:pPr>
      <w:r w:rsidRPr="00AF1FDE">
        <w:rPr>
          <w:rFonts w:ascii="Tahoma" w:eastAsia="Arial" w:hAnsi="Tahoma" w:cs="Tahoma"/>
        </w:rPr>
        <w:t xml:space="preserve">De acordo com o artigo 2º da Lei n. 6.766/1979, os loteamentos devem obedecer ao previsto em lei e, portanto, devem ser entregues com infraestrutura básica. Cabe ainda ressaltar que o fato do loteamento ter sido aprovado pelo município não exime a empresa loteadora da obrigação de </w:t>
      </w:r>
      <w:proofErr w:type="gramStart"/>
      <w:r w:rsidRPr="00AF1FDE">
        <w:rPr>
          <w:rFonts w:ascii="Tahoma" w:eastAsia="Arial" w:hAnsi="Tahoma" w:cs="Tahoma"/>
        </w:rPr>
        <w:t>implementar</w:t>
      </w:r>
      <w:proofErr w:type="gramEnd"/>
      <w:r w:rsidRPr="00AF1FDE">
        <w:rPr>
          <w:rFonts w:ascii="Tahoma" w:eastAsia="Arial" w:hAnsi="Tahoma" w:cs="Tahoma"/>
        </w:rPr>
        <w:t xml:space="preserve"> a infraestrutura básica.</w:t>
      </w:r>
    </w:p>
    <w:p w:rsidR="00C6585E" w:rsidRPr="00AF1FDE" w:rsidRDefault="00F8196A" w:rsidP="00AF1FDE">
      <w:pPr>
        <w:shd w:val="clear" w:color="auto" w:fill="FFFFFF"/>
        <w:spacing w:line="360" w:lineRule="auto"/>
        <w:jc w:val="both"/>
        <w:rPr>
          <w:rFonts w:ascii="Tahoma" w:eastAsia="Arial" w:hAnsi="Tahoma" w:cs="Tahoma"/>
        </w:rPr>
      </w:pPr>
      <w:r w:rsidRPr="00AF1FDE">
        <w:rPr>
          <w:rFonts w:ascii="Tahoma" w:eastAsia="Arial" w:hAnsi="Tahoma" w:cs="Tahoma"/>
        </w:rPr>
        <w:t xml:space="preserve"> </w:t>
      </w:r>
    </w:p>
    <w:p w:rsidR="00C6585E" w:rsidRPr="00AF1FDE" w:rsidRDefault="00F8196A" w:rsidP="00786B2C">
      <w:pPr>
        <w:shd w:val="clear" w:color="auto" w:fill="FFFFFF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AF1FDE">
        <w:rPr>
          <w:rFonts w:ascii="Tahoma" w:eastAsia="Arial" w:hAnsi="Tahoma" w:cs="Tahoma"/>
        </w:rPr>
        <w:t>Vê-se, que o ente público municipal tem a obrigação de proceder ao adequado ordenamento territorial, no que tange ao parcelamento e à ocupação do solo urbano. O artigo 40, da Lei n. 6.766/1979, por outro lado, estabelece que, embora a responsabilidade pela regularização do loteamento seja do empreendedor, na hipótese de este não cumprir tal encargo, o ônus é transferido ao Município, porque é subsidiariamente responsável.</w:t>
      </w:r>
    </w:p>
    <w:p w:rsidR="00C6585E" w:rsidRPr="00AF1FDE" w:rsidRDefault="00C6585E">
      <w:pPr>
        <w:jc w:val="both"/>
        <w:rPr>
          <w:rFonts w:ascii="Tahoma" w:eastAsia="Tahoma" w:hAnsi="Tahoma" w:cs="Tahoma"/>
          <w:sz w:val="22"/>
          <w:szCs w:val="22"/>
        </w:rPr>
      </w:pPr>
    </w:p>
    <w:sectPr w:rsidR="00C6585E" w:rsidRPr="00AF1FDE" w:rsidSect="00C658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683" w:rsidRDefault="009B5683" w:rsidP="00C6585E">
      <w:r>
        <w:separator/>
      </w:r>
    </w:p>
  </w:endnote>
  <w:endnote w:type="continuationSeparator" w:id="1">
    <w:p w:rsidR="009B5683" w:rsidRDefault="009B5683" w:rsidP="00C65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818" w:rsidRDefault="00EA081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818" w:rsidRDefault="00EA0818" w:rsidP="00EA08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EA0818" w:rsidRDefault="00EA0818" w:rsidP="00EA08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EA0818" w:rsidRDefault="00EA0818" w:rsidP="00EA08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EA0818" w:rsidRDefault="00EA081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818" w:rsidRDefault="00EA081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683" w:rsidRDefault="009B5683" w:rsidP="00C6585E">
      <w:r>
        <w:separator/>
      </w:r>
    </w:p>
  </w:footnote>
  <w:footnote w:type="continuationSeparator" w:id="1">
    <w:p w:rsidR="009B5683" w:rsidRDefault="009B5683" w:rsidP="00C658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818" w:rsidRDefault="00EA081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85E" w:rsidRDefault="00C658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C6585E">
      <w:trPr>
        <w:cantSplit/>
        <w:trHeight w:val="1971"/>
        <w:tblHeader/>
      </w:trPr>
      <w:tc>
        <w:tcPr>
          <w:tcW w:w="1728" w:type="dxa"/>
        </w:tcPr>
        <w:p w:rsidR="00C6585E" w:rsidRDefault="00F8196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6585E" w:rsidRDefault="00C658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C6585E" w:rsidRDefault="00C658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C6585E" w:rsidRDefault="00F8196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C6585E" w:rsidRDefault="00C658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6585E" w:rsidRDefault="00F8196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C6585E" w:rsidRDefault="00C658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C6585E" w:rsidRDefault="00C658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818" w:rsidRDefault="00EA081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585E"/>
    <w:rsid w:val="000164C1"/>
    <w:rsid w:val="001668C9"/>
    <w:rsid w:val="001D202A"/>
    <w:rsid w:val="00286CDF"/>
    <w:rsid w:val="003C1469"/>
    <w:rsid w:val="004E24A6"/>
    <w:rsid w:val="005F6AB1"/>
    <w:rsid w:val="0060585A"/>
    <w:rsid w:val="00786B2C"/>
    <w:rsid w:val="009B5683"/>
    <w:rsid w:val="00AF1FDE"/>
    <w:rsid w:val="00BB1DB4"/>
    <w:rsid w:val="00C16A93"/>
    <w:rsid w:val="00C43E4F"/>
    <w:rsid w:val="00C6585E"/>
    <w:rsid w:val="00E40D56"/>
    <w:rsid w:val="00EA0818"/>
    <w:rsid w:val="00F81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C658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C658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C658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C658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C6585E"/>
  </w:style>
  <w:style w:type="table" w:customStyle="1" w:styleId="TableNormal">
    <w:name w:val="Table Normal"/>
    <w:rsid w:val="00C658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C658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C658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C658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YD3bhwdNF2QrsFukuSYi3O7h/Q==">AMUW2mUYFYNaNsxlYbm7iwZ+SNoTFQtHH3JdQuKdSe7eqdvJ2NNnFto+lrzt7O3Md0/JVDQZ3pPWTKxN583ZJss6mVQx5RXr9nHK5YzpJhNyNNLAAB7ee0c=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609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dcterms:created xsi:type="dcterms:W3CDTF">2023-11-01T19:16:00Z</dcterms:created>
  <dcterms:modified xsi:type="dcterms:W3CDTF">2023-11-01T19:16:00Z</dcterms:modified>
</cp:coreProperties>
</file>