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527" w:rsidRDefault="003F0527">
      <w:pPr>
        <w:tabs>
          <w:tab w:val="left" w:pos="4245"/>
        </w:tabs>
        <w:jc w:val="center"/>
        <w:rPr>
          <w:rFonts w:ascii="Tahoma" w:eastAsia="Tahoma" w:hAnsi="Tahoma" w:cs="Tahoma"/>
          <w:b/>
          <w:smallCaps/>
        </w:rPr>
      </w:pPr>
    </w:p>
    <w:p w:rsidR="003F0527" w:rsidRDefault="003B76DF">
      <w:pPr>
        <w:tabs>
          <w:tab w:val="left" w:pos="4245"/>
        </w:tabs>
        <w:jc w:val="center"/>
        <w:rPr>
          <w:rFonts w:ascii="Tahoma" w:eastAsia="Tahoma" w:hAnsi="Tahoma" w:cs="Tahoma"/>
          <w:b/>
          <w:smallCaps/>
        </w:rPr>
      </w:pPr>
      <w:r>
        <w:rPr>
          <w:rFonts w:ascii="Tahoma" w:eastAsia="Tahoma" w:hAnsi="Tahoma" w:cs="Tahoma"/>
          <w:b/>
          <w:smallCaps/>
        </w:rPr>
        <w:t>PROJETO DE LEI Nº.            /2023.</w:t>
      </w:r>
    </w:p>
    <w:p w:rsidR="003F0527" w:rsidRDefault="003F0527">
      <w:pPr>
        <w:jc w:val="center"/>
        <w:rPr>
          <w:rFonts w:ascii="Tahoma" w:eastAsia="Tahoma" w:hAnsi="Tahoma" w:cs="Tahoma"/>
        </w:rPr>
      </w:pPr>
    </w:p>
    <w:p w:rsidR="003F0527" w:rsidRDefault="003F0527">
      <w:pPr>
        <w:ind w:left="4536"/>
        <w:jc w:val="both"/>
        <w:rPr>
          <w:rFonts w:ascii="Tahoma" w:eastAsia="Tahoma" w:hAnsi="Tahoma" w:cs="Tahoma"/>
          <w:b/>
        </w:rPr>
      </w:pPr>
    </w:p>
    <w:p w:rsidR="003F0527" w:rsidRDefault="003B76DF">
      <w:pPr>
        <w:ind w:left="4536"/>
        <w:jc w:val="both"/>
        <w:rPr>
          <w:rFonts w:ascii="Tahoma" w:eastAsia="Tahoma" w:hAnsi="Tahoma" w:cs="Tahoma"/>
          <w:b/>
          <w:smallCaps/>
        </w:rPr>
      </w:pPr>
      <w:r>
        <w:rPr>
          <w:rFonts w:ascii="Tahoma" w:eastAsia="Tahoma" w:hAnsi="Tahoma" w:cs="Tahoma"/>
          <w:b/>
          <w:smallCaps/>
        </w:rPr>
        <w:t>ACRESC</w:t>
      </w:r>
      <w:r w:rsidR="005F39A0">
        <w:rPr>
          <w:rFonts w:ascii="Tahoma" w:eastAsia="Tahoma" w:hAnsi="Tahoma" w:cs="Tahoma"/>
          <w:b/>
          <w:smallCaps/>
        </w:rPr>
        <w:t>ENTA O PARÁGRAFO ÚNICO AO ART. 1º DA LEI 078/2023</w:t>
      </w:r>
      <w:r>
        <w:rPr>
          <w:rFonts w:ascii="Tahoma" w:eastAsia="Tahoma" w:hAnsi="Tahoma" w:cs="Tahoma"/>
          <w:b/>
          <w:smallCaps/>
        </w:rPr>
        <w:t>.</w:t>
      </w:r>
    </w:p>
    <w:p w:rsidR="003F0527" w:rsidRDefault="003B76DF">
      <w:pPr>
        <w:tabs>
          <w:tab w:val="left" w:pos="6330"/>
        </w:tabs>
        <w:ind w:left="4536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ab/>
      </w: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3F0527" w:rsidRDefault="003B76DF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Fica acrescenta</w:t>
      </w:r>
      <w:r w:rsidR="005F39A0">
        <w:rPr>
          <w:rFonts w:ascii="Tahoma" w:eastAsia="Tahoma" w:hAnsi="Tahoma" w:cs="Tahoma"/>
        </w:rPr>
        <w:t>do o parágrafo único ao artigo 1</w:t>
      </w:r>
      <w:r>
        <w:rPr>
          <w:rFonts w:ascii="Tahoma" w:eastAsia="Tahoma" w:hAnsi="Tahoma" w:cs="Tahoma"/>
        </w:rPr>
        <w:t xml:space="preserve">º, com a seguinte redação: </w:t>
      </w:r>
    </w:p>
    <w:p w:rsidR="003F0527" w:rsidRDefault="003F0527">
      <w:pPr>
        <w:spacing w:line="360" w:lineRule="auto"/>
        <w:ind w:left="1701"/>
        <w:jc w:val="both"/>
        <w:rPr>
          <w:rFonts w:ascii="Tahoma" w:eastAsia="Tahoma" w:hAnsi="Tahoma" w:cs="Tahoma"/>
        </w:rPr>
      </w:pPr>
    </w:p>
    <w:p w:rsidR="003F0527" w:rsidRDefault="003B76DF">
      <w:pPr>
        <w:spacing w:line="360" w:lineRule="auto"/>
        <w:ind w:left="1701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Parágrafo Único.</w:t>
      </w:r>
      <w:r w:rsidR="005F39A0">
        <w:rPr>
          <w:rFonts w:ascii="Tahoma" w:eastAsia="Tahoma" w:hAnsi="Tahoma" w:cs="Tahoma"/>
        </w:rPr>
        <w:t xml:space="preserve"> Fica a critério do poder executivo estabelecer o local de exposição do monumento, caso seja necessário para obras de revitalização do centro</w:t>
      </w:r>
      <w:r>
        <w:rPr>
          <w:rFonts w:ascii="Tahoma" w:eastAsia="Tahoma" w:hAnsi="Tahoma" w:cs="Tahoma"/>
        </w:rPr>
        <w:t>.</w:t>
      </w:r>
    </w:p>
    <w:p w:rsidR="003F0527" w:rsidRDefault="003F0527">
      <w:pPr>
        <w:spacing w:line="360" w:lineRule="auto"/>
        <w:ind w:left="1701"/>
        <w:jc w:val="both"/>
        <w:rPr>
          <w:rFonts w:ascii="Tahoma" w:eastAsia="Tahoma" w:hAnsi="Tahoma" w:cs="Tahoma"/>
        </w:rPr>
      </w:pPr>
    </w:p>
    <w:p w:rsidR="003F0527" w:rsidRDefault="003B76DF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 2º - </w:t>
      </w:r>
      <w:r>
        <w:rPr>
          <w:rFonts w:ascii="Tahoma" w:eastAsia="Tahoma" w:hAnsi="Tahoma" w:cs="Tahoma"/>
        </w:rPr>
        <w:t>Esta lei entrará em vigor na data de sua publicação, revogadas as disposições em contrário.</w:t>
      </w: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3F0527" w:rsidRDefault="005F39A0">
      <w:pPr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Sala das Sessões, 29 de Junh</w:t>
      </w:r>
      <w:r w:rsidR="000F5D9A">
        <w:rPr>
          <w:rFonts w:ascii="Tahoma" w:eastAsia="Tahoma" w:hAnsi="Tahoma" w:cs="Tahoma"/>
        </w:rPr>
        <w:t>o</w:t>
      </w:r>
      <w:r w:rsidR="003B76DF">
        <w:rPr>
          <w:rFonts w:ascii="Tahoma" w:eastAsia="Tahoma" w:hAnsi="Tahoma" w:cs="Tahoma"/>
        </w:rPr>
        <w:t xml:space="preserve"> de 2023.</w:t>
      </w: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5F39A0" w:rsidRDefault="005F39A0">
      <w:pPr>
        <w:jc w:val="both"/>
        <w:rPr>
          <w:rFonts w:ascii="Tahoma" w:eastAsia="Tahoma" w:hAnsi="Tahoma" w:cs="Tahoma"/>
        </w:rPr>
      </w:pPr>
    </w:p>
    <w:p w:rsidR="005F39A0" w:rsidRDefault="005F39A0">
      <w:pPr>
        <w:jc w:val="both"/>
        <w:rPr>
          <w:rFonts w:ascii="Tahoma" w:eastAsia="Tahoma" w:hAnsi="Tahoma" w:cs="Tahoma"/>
        </w:rPr>
      </w:pPr>
    </w:p>
    <w:p w:rsidR="005F39A0" w:rsidRDefault="005F39A0">
      <w:pPr>
        <w:jc w:val="both"/>
        <w:rPr>
          <w:rFonts w:ascii="Tahoma" w:eastAsia="Tahoma" w:hAnsi="Tahoma" w:cs="Tahoma"/>
        </w:rPr>
      </w:pPr>
    </w:p>
    <w:p w:rsidR="003F0527" w:rsidRDefault="003F0527">
      <w:pPr>
        <w:jc w:val="center"/>
        <w:rPr>
          <w:rFonts w:ascii="Tahoma" w:eastAsia="Tahoma" w:hAnsi="Tahoma" w:cs="Tahoma"/>
        </w:rPr>
      </w:pPr>
    </w:p>
    <w:p w:rsidR="003F0527" w:rsidRDefault="003F0527">
      <w:pPr>
        <w:jc w:val="center"/>
        <w:rPr>
          <w:rFonts w:ascii="Tahoma" w:eastAsia="Tahoma" w:hAnsi="Tahoma" w:cs="Tahoma"/>
        </w:rPr>
      </w:pPr>
    </w:p>
    <w:p w:rsidR="005F39A0" w:rsidRDefault="005F39A0">
      <w:pPr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MARCOS SABINO</w:t>
      </w:r>
    </w:p>
    <w:p w:rsidR="003F0527" w:rsidRDefault="003B76DF">
      <w:pPr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Vereador</w:t>
      </w:r>
    </w:p>
    <w:p w:rsidR="003F0527" w:rsidRDefault="003F0527">
      <w:pPr>
        <w:spacing w:line="360" w:lineRule="auto"/>
        <w:jc w:val="center"/>
        <w:rPr>
          <w:rFonts w:ascii="Tahoma" w:eastAsia="Tahoma" w:hAnsi="Tahoma" w:cs="Tahoma"/>
          <w:b/>
        </w:rPr>
      </w:pP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3F0527" w:rsidRDefault="003F0527">
      <w:pPr>
        <w:jc w:val="both"/>
        <w:rPr>
          <w:rFonts w:ascii="Tahoma" w:eastAsia="Tahoma" w:hAnsi="Tahoma" w:cs="Tahoma"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F0527">
      <w:pPr>
        <w:spacing w:line="360" w:lineRule="auto"/>
        <w:ind w:firstLine="708"/>
        <w:rPr>
          <w:rFonts w:ascii="Tahoma" w:eastAsia="Tahoma" w:hAnsi="Tahoma" w:cs="Tahoma"/>
          <w:b/>
        </w:rPr>
      </w:pPr>
    </w:p>
    <w:p w:rsidR="003F0527" w:rsidRDefault="003B76DF">
      <w:pPr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Justificativa:</w:t>
      </w:r>
    </w:p>
    <w:p w:rsidR="003F0527" w:rsidRDefault="003F0527">
      <w:pPr>
        <w:jc w:val="both"/>
        <w:rPr>
          <w:rFonts w:ascii="Tahoma" w:eastAsia="Tahoma" w:hAnsi="Tahoma" w:cs="Tahoma"/>
          <w:b/>
        </w:rPr>
      </w:pPr>
    </w:p>
    <w:p w:rsidR="005F39A0" w:rsidRDefault="005F39A0" w:rsidP="005F39A0">
      <w:pPr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Em virtude da comemoração dos 450 anos da cidade de Niterói, é necessário que o poder público do Município, na condição de guardião de seu patrimônio, reconheça e resguarde aquilo que entende como manifestação da memória coletiva, da história, da cultura, do povo e do território niteroiense. </w:t>
      </w:r>
    </w:p>
    <w:p w:rsidR="005F39A0" w:rsidRDefault="005F39A0" w:rsidP="005F39A0">
      <w:pPr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 presente proposta tem como fundamento proteger o patrimônio de uma eventual obra de revitalização.</w:t>
      </w:r>
    </w:p>
    <w:p w:rsidR="003F0527" w:rsidRDefault="003B76DF" w:rsidP="005F39A0">
      <w:pPr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ab/>
      </w:r>
      <w:bookmarkStart w:id="0" w:name="_GoBack"/>
      <w:bookmarkEnd w:id="0"/>
    </w:p>
    <w:sectPr w:rsidR="003F0527">
      <w:headerReference w:type="default" r:id="rId8"/>
      <w:footerReference w:type="default" r:id="rId9"/>
      <w:pgSz w:w="11905" w:h="16837"/>
      <w:pgMar w:top="284" w:right="1134" w:bottom="1134" w:left="1134" w:header="284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950" w:rsidRDefault="00C56950">
      <w:r>
        <w:separator/>
      </w:r>
    </w:p>
  </w:endnote>
  <w:endnote w:type="continuationSeparator" w:id="0">
    <w:p w:rsidR="00C56950" w:rsidRDefault="00C56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527" w:rsidRDefault="003F052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3F0527" w:rsidRDefault="003B76DF" w:rsidP="005F39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color w:val="000000"/>
        <w:sz w:val="16"/>
        <w:szCs w:val="16"/>
      </w:rPr>
    </w:pPr>
    <w:r>
      <w:rPr>
        <w:color w:val="000000"/>
      </w:rPr>
      <w:tab/>
    </w:r>
    <w:r>
      <w:rPr>
        <w:rFonts w:ascii="Tahoma" w:eastAsia="Tahoma" w:hAnsi="Tahoma" w:cs="Tahoma"/>
        <w:b/>
        <w:i/>
        <w:color w:val="000000"/>
        <w:sz w:val="16"/>
        <w:szCs w:val="16"/>
      </w:rPr>
      <w:t>Av. Ama</w:t>
    </w:r>
    <w:r w:rsidR="005F39A0">
      <w:rPr>
        <w:rFonts w:ascii="Tahoma" w:eastAsia="Tahoma" w:hAnsi="Tahoma" w:cs="Tahoma"/>
        <w:b/>
        <w:i/>
        <w:color w:val="000000"/>
        <w:sz w:val="16"/>
        <w:szCs w:val="16"/>
      </w:rPr>
      <w:t>ral Peixoto, 625 / Gabinete: 44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– Centro – Niterói – RJ – 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CEP.: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        </w:t>
    </w:r>
  </w:p>
  <w:p w:rsidR="003F0527" w:rsidRDefault="003F052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950" w:rsidRDefault="00C56950">
      <w:r>
        <w:separator/>
      </w:r>
    </w:p>
  </w:footnote>
  <w:footnote w:type="continuationSeparator" w:id="0">
    <w:p w:rsidR="00C56950" w:rsidRDefault="00C56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527" w:rsidRDefault="003F05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</w:rPr>
    </w:pPr>
  </w:p>
  <w:tbl>
    <w:tblPr>
      <w:tblStyle w:val="a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3F0527">
      <w:trPr>
        <w:trHeight w:val="1971"/>
      </w:trPr>
      <w:tc>
        <w:tcPr>
          <w:tcW w:w="1728" w:type="dxa"/>
          <w:tcBorders>
            <w:bottom w:val="single" w:sz="4" w:space="0" w:color="000000"/>
          </w:tcBorders>
        </w:tcPr>
        <w:p w:rsidR="003F0527" w:rsidRDefault="003B76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885825" cy="98679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9867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  <w:tcBorders>
            <w:bottom w:val="single" w:sz="4" w:space="0" w:color="000000"/>
          </w:tcBorders>
        </w:tcPr>
        <w:p w:rsidR="003F0527" w:rsidRDefault="003F05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  <w:p w:rsidR="003F0527" w:rsidRDefault="003F05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  <w:p w:rsidR="003F0527" w:rsidRDefault="003B76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3F0527" w:rsidRDefault="003F05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3F0527" w:rsidRDefault="003B76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5F39A0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Marcos Sabino</w:t>
          </w:r>
        </w:p>
        <w:p w:rsidR="003F0527" w:rsidRDefault="003F05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3F0527" w:rsidRDefault="003F052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E73C96"/>
    <w:multiLevelType w:val="multilevel"/>
    <w:tmpl w:val="FFECCFC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27"/>
    <w:rsid w:val="000F5D9A"/>
    <w:rsid w:val="00361211"/>
    <w:rsid w:val="003B76DF"/>
    <w:rsid w:val="003F0527"/>
    <w:rsid w:val="005B272F"/>
    <w:rsid w:val="005F39A0"/>
    <w:rsid w:val="00A37137"/>
    <w:rsid w:val="00C5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A7737-92A3-4608-8E69-1C25B527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numPr>
        <w:numId w:val="1"/>
      </w:numPr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30F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qFormat/>
    <w:rsid w:val="006920BB"/>
    <w:pPr>
      <w:jc w:val="center"/>
    </w:pPr>
    <w:rPr>
      <w:b/>
      <w:i/>
      <w:sz w:val="20"/>
      <w:szCs w:val="20"/>
    </w:rPr>
  </w:style>
  <w:style w:type="character" w:customStyle="1" w:styleId="Absatz-Standardschriftart">
    <w:name w:val="Absatz-Standardschriftart"/>
    <w:rsid w:val="006920BB"/>
  </w:style>
  <w:style w:type="character" w:customStyle="1" w:styleId="Fontepargpadro4">
    <w:name w:val="Fonte parág. padrão4"/>
    <w:rsid w:val="006920BB"/>
  </w:style>
  <w:style w:type="character" w:customStyle="1" w:styleId="Fontepargpadro3">
    <w:name w:val="Fonte parág. padrão3"/>
    <w:rsid w:val="006920BB"/>
  </w:style>
  <w:style w:type="character" w:customStyle="1" w:styleId="WW-Absatz-Standardschriftart">
    <w:name w:val="WW-Absatz-Standardschriftart"/>
    <w:rsid w:val="006920BB"/>
  </w:style>
  <w:style w:type="character" w:customStyle="1" w:styleId="WW-Absatz-Standardschriftart1">
    <w:name w:val="WW-Absatz-Standardschriftart1"/>
    <w:rsid w:val="006920BB"/>
  </w:style>
  <w:style w:type="character" w:customStyle="1" w:styleId="Fontepargpadro2">
    <w:name w:val="Fonte parág. padrão2"/>
    <w:rsid w:val="006920BB"/>
  </w:style>
  <w:style w:type="character" w:customStyle="1" w:styleId="Fontepargpadro1">
    <w:name w:val="Fonte parág. padrão1"/>
    <w:rsid w:val="006920BB"/>
  </w:style>
  <w:style w:type="character" w:customStyle="1" w:styleId="hp">
    <w:name w:val="hp"/>
    <w:basedOn w:val="Fontepargpadro1"/>
    <w:rsid w:val="006920BB"/>
  </w:style>
  <w:style w:type="character" w:styleId="Hyperlink">
    <w:name w:val="Hyperlink"/>
    <w:rsid w:val="006920BB"/>
    <w:rPr>
      <w:color w:val="0000FF"/>
      <w:u w:val="single"/>
    </w:rPr>
  </w:style>
  <w:style w:type="paragraph" w:customStyle="1" w:styleId="Ttulo40">
    <w:name w:val="Título4"/>
    <w:basedOn w:val="Normal"/>
    <w:next w:val="Corpodetexto"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6920BB"/>
    <w:pPr>
      <w:jc w:val="both"/>
    </w:pPr>
  </w:style>
  <w:style w:type="paragraph" w:styleId="Lista">
    <w:name w:val="List"/>
    <w:basedOn w:val="Corpodetexto"/>
    <w:rsid w:val="006920BB"/>
    <w:rPr>
      <w:rFonts w:cs="Tahoma"/>
    </w:rPr>
  </w:style>
  <w:style w:type="paragraph" w:customStyle="1" w:styleId="Legenda4">
    <w:name w:val="Legenda4"/>
    <w:basedOn w:val="Normal"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NormalWeb">
    <w:name w:val="Normal (Web)"/>
    <w:basedOn w:val="Normal"/>
    <w:rsid w:val="006920BB"/>
    <w:pPr>
      <w:spacing w:before="280" w:after="280"/>
    </w:pPr>
  </w:style>
  <w:style w:type="paragraph" w:customStyle="1" w:styleId="Contedodetabela">
    <w:name w:val="Conteúdo de tabela"/>
    <w:basedOn w:val="Normal"/>
    <w:rsid w:val="006920BB"/>
    <w:pPr>
      <w:suppressLineNumbers/>
    </w:pPr>
  </w:style>
  <w:style w:type="paragraph" w:customStyle="1" w:styleId="Ttulodetabela">
    <w:name w:val="Título de tabela"/>
    <w:basedOn w:val="Contedodetabela"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rsid w:val="00C44C0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C44C01"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rsid w:val="00A0317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ormaltextrun">
    <w:name w:val="normaltextrun"/>
    <w:basedOn w:val="Fontepargpadro"/>
    <w:rsid w:val="00A03177"/>
  </w:style>
  <w:style w:type="character" w:customStyle="1" w:styleId="eop">
    <w:name w:val="eop"/>
    <w:basedOn w:val="Fontepargpadro"/>
    <w:rsid w:val="00A03177"/>
  </w:style>
  <w:style w:type="character" w:customStyle="1" w:styleId="bcx0">
    <w:name w:val="bcx0"/>
    <w:basedOn w:val="Fontepargpadro"/>
    <w:rsid w:val="00A03177"/>
  </w:style>
  <w:style w:type="paragraph" w:styleId="Recuodecorpodetexto">
    <w:name w:val="Body Text Indent"/>
    <w:basedOn w:val="Normal"/>
    <w:link w:val="RecuodecorpodetextoChar"/>
    <w:rsid w:val="00D7466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7466C"/>
    <w:rPr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230F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EFvybhBBqLBh+mF19DAz7Lmvq7g==">AMUW2mVjn8kzO+IZROFei4kS3TvttYjCv43y44lxrlW63l7V+JntLxP0uBJV9T0ry/YO9EZHoUaw2s9eNRQ0PXP7kqsHPhKrUiBMOyb6z2N6xfge6zvzoUo=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renatinho</dc:creator>
  <cp:lastModifiedBy>Ver Binho</cp:lastModifiedBy>
  <cp:revision>3</cp:revision>
  <dcterms:created xsi:type="dcterms:W3CDTF">2023-06-29T19:02:00Z</dcterms:created>
  <dcterms:modified xsi:type="dcterms:W3CDTF">2023-06-29T19:07:00Z</dcterms:modified>
</cp:coreProperties>
</file>