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6296 manutenção dos bicicletários públicos no anexo II – Metas e Prioridades da Lei de Diretrizes Orçamentárias - 2023 na Unidade Orçamentária Secretaria Municipal de Urbanismo e Mobilidade,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6296 manutenção dos bicicletários públicos no anexo II – Metas e Prioridades da Lei de Diretrizes Orçamentárias - 2023 na Unidade Orçamentária Secretaria Municipal de Urbanismo e Mobilidade, do projeto de lei 045/2023: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11 -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6296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manutenção dos bicicletários públicos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Urbanismo e Mobilidade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220.000,00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acrescentar recursos para a manutenção dos bicicletários públicos da cidade.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