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à ação Capacitação das comunidades pesqueiras de Niterói no anexo II – Metas e Prioridades da Lei de Diretrizes Orçamentárias - 2023 na Unidade Orçamentária secretaria municipal de ciência, tecnologia e inovação 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à ação Capacitação das comunidades pesqueiras de Niterói no anexo II – Metas e Prioridades da Lei de Diretrizes Orçamentárias - 2023 na Unidade Orçamentária secretaria municipal de ciência, tecnologia e inovação 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134 - Cidade científica e tecnológica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Capacitação das comunidades pesqueiras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 MUNICIPAL DE CIÊNCIA, TECNOLOGIA E INOVAÇÃO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F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criar um projeto de capacitação das comunidades pesqueiras de Niterói.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