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a ação orçamentária fundo de reparo de calçadas no anexo II – Metas e Prioridades da Lei de Diretrizes Orçamentárias - 2023 na Unidade Orçamentária Secretaria Municipal das Culturas,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a ação orçamentária fundo de reparo de calçadas no anexo II – Metas e Prioridades da Lei de Diretrizes Orçamentárias - 2023 na Unidade Orçamentária Secretaria Municipal das Culturas,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 Cidade urbanizada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right="-10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manutenção do fundo de reparo de calçadas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Seconser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5194 | IMPLANTAÇÃO DO PROGRAMA DE EFICIÊNCIA ENERGÉTICA - TELHADOS FOTOVOLTÁICOS NOS PRÓPRIOS MUNICIPAIS E CARROS ELÉTRICOS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Seconser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destinar recursos para a criação e manutenção de um fundo exclusivo para reparos em calçadas da cidade, dando mais rapidez em pequenos reparos.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