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a ação orçamentária aluguel de barracas das feiras da Casa do Artesão  no anexo II – Metas e Prioridades da Lei de Diretrizes Orçamentárias - 2023 na Unidade Orçamentária Secretaria Municipal das Culturas,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Cria e acrescenta recursos a ação orçamentária aluguel de barracas das feiras da Casa do Artesão no anexo II – Metas e Prioridades da Lei de Diretrizes Orçamentárias - 2023 na Unidade Orçamentária Secretaria Municipal das Culturas,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 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136 Cultura é um direito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120" w:line="259" w:lineRule="auto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aluguel de barracas das feiras da Casa do Artesão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130.000,00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6114 | manutenção da limpeza, conservação dos logradouros públicos e manejo dos resíduos sólidos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tem o objetivo de destinar recursos para o aluguel das barracas das feiras promovidas pela casa do artesão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