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6287  realização de eventos do projeto de educação anti-racista no anexo II – Metas e Prioridades da Lei de Diretrizes Orçamentárias - 2023 na Unidade Orçamentária Fundação Municipal de Educação,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6287  realização de eventos do projeto de educação anti-racista no anexo II – Metas e Prioridades da Lei de Diretrizes Orçamentárias - 2023 na Unidade Orçamentária Fundação Municipal de Educação,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135 - Educação para todos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6287  realização de eventos do projeto de educação anti-racista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Fundação Municipal de Educação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330.000,00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430.000,00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Cidade Urbanizada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5188  modernização e eficientização do parque iluminotécnico da cidade - led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Secretaria Municipal de Obras e Infraestrutura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47.787.640,97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3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4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Julgamos necessário aumentar recursos para a realização dos eventos.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