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6161 operacionalização e qualificação do programa de saúde bucal no anexo II – Metas e Prioridades da Lei de Diretrizes Orçamentárias - 2023 na Unidade Orçamentária Secretaria Municipal de Saúde e Mobilidade,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6161 | operacionalização e qualificação do programa de saúde bucal no anexo II – Metas e Prioridades da Lei de Diretrizes Orçamentárias - 2023 na Unidade Orçamentária Secretaria Municipal de Saúde e Mobilidade, do projeto de lei 045/2023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133 - Atenção a Saúde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6161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operacionalização e qualificação do programa de saúde bucal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de Saúde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 Cidade Urbanizada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5188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 modernização e eficientização do parque iluminotécnico da cidade - led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Secretaria Municipal de Obras e Infraestrutura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47.787.640,97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saúde bucal pública atende principalmente a população hipervulnerável. Por isso julgamos necessário acrescentar recursos acima do atualmente estipulado.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