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Aquisição e manutenção de ônibus escolares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331" w:lineRule="auto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Aquisição e manutenção de 07 ônibus escolares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Veículos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1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presente emenda tem por objetivo atender a demanda do transporte Escolar, visto que o serviços de transportes de alunos tem demanda muito superior a frota própria, Salientamos que hoje a Secretaria municipal de Educação não possui veículos suficientes para atender a demanda do transporte escolar da Rede.</w:t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compra dos veículos e sua manutenção possibilita às unidades escolares da Rede Municipal o deslocamento para a realização de aulas fora do espaço físico escolar, como visita à museus, teatros e afins. Tais </w:t>
      </w:r>
      <w:r w:rsidDel="00000000" w:rsidR="00000000" w:rsidRPr="00000000">
        <w:rPr>
          <w:rtl w:val="0"/>
        </w:rPr>
        <w:t xml:space="preserve">atividades fazem parte do processo de aprendizagem e atuam como experiência que transforma o estudo teórico dos alunos em aprendizado prático materializado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 As visitas escolares constituem uma ferramenta importante para o ensino, estas motivam os discentes e possibilitam que vivenciem e explorem uma gama complexa e diversificada de conhecimento, este contato com múltiplos ambientes facilitam o aprendizado e a compreensão de conteúdo. 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kjiV6zR88QCy/Qdz4fJwu1OZDA==">CgMxLjAyCGguZ2pkZ3hzOAByITE1WENJRW9Nb2hfYnNqVXpJVGRULXhLM0VMVTZjZGhKVw==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