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0147 | CIDADE VERDE E SUSTENTÁVE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Implementação do Monumento Natural Municipal do Sambaqui Camboinhas e Duna Pequena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do Monumento Natural Municipal do Sambaqui Camboinhas e Duna Pequena na área remanescente de restinga próxima à Laguna de Itaipu neste Município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MEIO AMB, REC. HÍDRICOS E SUSTENTABILIDADE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2.10937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Monumento instituído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pretende viabilizar a criação do </w:t>
      </w:r>
      <w:r w:rsidDel="00000000" w:rsidR="00000000" w:rsidRPr="00000000">
        <w:rPr>
          <w:rtl w:val="0"/>
        </w:rPr>
        <w:t xml:space="preserve">Monumento Natural Municipal do Sambaqui Camboinhas e Duna Pequena na área remanescente de restinga próxima à Laguna de Itaipu neste Município de Niterói, importante medida para a proteção do patrimônio ambiental e arqueológico da região.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NlbKRGYgyHlFaP8T0xdErwhs0g==">CgMxLjAyCGguZ2pkZ3hzOAByITFZdHdlZS1NMW9CSzh3cnRlSFBId0M0Tm5nXzJkVnZtZQ==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