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29B167" w14:textId="2C412D17" w:rsidR="00D50C44" w:rsidRPr="008829AE" w:rsidRDefault="00D50C44" w:rsidP="0009161B">
      <w:pPr>
        <w:spacing w:after="0" w:line="360" w:lineRule="auto"/>
        <w:ind w:firstLine="3"/>
        <w:jc w:val="center"/>
        <w:rPr>
          <w:rFonts w:ascii="Tahoma" w:eastAsia="Arial" w:hAnsi="Tahoma" w:cs="Tahoma"/>
          <w:b/>
          <w:sz w:val="28"/>
          <w:szCs w:val="28"/>
          <w:shd w:val="clear" w:color="auto" w:fill="FFFFFF"/>
        </w:rPr>
      </w:pPr>
      <w:r w:rsidRPr="008829AE">
        <w:rPr>
          <w:rFonts w:ascii="Tahoma" w:eastAsia="Arial" w:hAnsi="Tahoma" w:cs="Tahoma"/>
          <w:b/>
          <w:sz w:val="28"/>
          <w:szCs w:val="28"/>
          <w:shd w:val="clear" w:color="auto" w:fill="FFFFFF"/>
        </w:rPr>
        <w:t>PROJETO DE LEI Nº       /202</w:t>
      </w:r>
      <w:r w:rsidR="006F2D5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3</w:t>
      </w:r>
    </w:p>
    <w:p w14:paraId="6A8F4634" w14:textId="77777777" w:rsidR="000D46CC" w:rsidRDefault="000D46CC" w:rsidP="0009161B">
      <w:pPr>
        <w:shd w:val="clear" w:color="auto" w:fill="FFFFFF"/>
        <w:spacing w:before="0"/>
        <w:ind w:left="3969"/>
        <w:textAlignment w:val="baseline"/>
        <w:rPr>
          <w:rFonts w:ascii="Tahoma" w:eastAsia="Times New Roman" w:hAnsi="Tahoma" w:cs="Tahoma"/>
          <w:b/>
          <w:bCs/>
          <w:color w:val="000000"/>
          <w:szCs w:val="22"/>
          <w:lang w:eastAsia="pt-BR"/>
        </w:rPr>
      </w:pPr>
    </w:p>
    <w:p w14:paraId="66BEE3ED" w14:textId="43170998" w:rsidR="00D80779" w:rsidRPr="00D80779" w:rsidRDefault="00D80779" w:rsidP="00D80779">
      <w:pPr>
        <w:shd w:val="clear" w:color="auto" w:fill="FFFFFF"/>
        <w:spacing w:before="0"/>
        <w:ind w:left="4536"/>
        <w:textAlignment w:val="baseline"/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</w:pPr>
      <w:r w:rsidRPr="00D80779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 xml:space="preserve">SOBRE A OBRIGATORIEDADE DE INCLUSÃO, EM UM PERCENTUAL MÍNIMO DE 30% (TRINTA POR CENTO), DE </w:t>
      </w:r>
      <w:r w:rsidR="006E15DC" w:rsidRPr="006E15D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 xml:space="preserve">FRUTAS E HORTALIÇAS ORGÂNICAS </w:t>
      </w:r>
      <w:r w:rsidRPr="00D80779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NA ALIMENTAÇÃO FORNECIDA AOS PACIENTES DOS HOSPI</w:t>
      </w:r>
      <w:r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TAIS DA REDE PÚBLICA MUNICIPAL DE NITERÓI</w:t>
      </w:r>
      <w:r w:rsidRPr="00D80779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>.</w:t>
      </w:r>
    </w:p>
    <w:p w14:paraId="703DC176" w14:textId="4AA69910" w:rsidR="004767C9" w:rsidRPr="000D46CC" w:rsidRDefault="00BD481F" w:rsidP="000D46CC">
      <w:pPr>
        <w:shd w:val="clear" w:color="auto" w:fill="FFFFFF"/>
        <w:spacing w:before="0"/>
        <w:ind w:left="4536"/>
        <w:textAlignment w:val="baseline"/>
        <w:rPr>
          <w:rFonts w:ascii="Tahoma" w:eastAsia="Times New Roman" w:hAnsi="Tahoma" w:cs="Tahoma"/>
          <w:color w:val="000000"/>
          <w:sz w:val="20"/>
          <w:lang w:eastAsia="pt-BR"/>
        </w:rPr>
      </w:pPr>
      <w:r w:rsidRPr="000D46CC">
        <w:rPr>
          <w:rFonts w:ascii="Tahoma" w:eastAsia="Times New Roman" w:hAnsi="Tahoma" w:cs="Tahoma"/>
          <w:b/>
          <w:bCs/>
          <w:color w:val="000000"/>
          <w:sz w:val="20"/>
          <w:lang w:eastAsia="pt-BR"/>
        </w:rPr>
        <w:t xml:space="preserve"> </w:t>
      </w:r>
    </w:p>
    <w:p w14:paraId="111A1CCE" w14:textId="5CD79A0E" w:rsidR="008829AE" w:rsidRDefault="008829AE" w:rsidP="00B37C82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</w:p>
    <w:p w14:paraId="38EC6E83" w14:textId="24B8F51C" w:rsidR="004767C9" w:rsidRDefault="004767C9" w:rsidP="00567B6F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3E0347">
        <w:rPr>
          <w:rFonts w:ascii="Tahoma" w:eastAsia="Times New Roman" w:hAnsi="Tahoma" w:cs="Tahoma"/>
          <w:bCs/>
          <w:color w:val="000000"/>
          <w:sz w:val="24"/>
          <w:szCs w:val="24"/>
          <w:bdr w:val="none" w:sz="0" w:space="0" w:color="auto" w:frame="1"/>
          <w:lang w:eastAsia="pt-BR"/>
        </w:rPr>
        <w:t>Art. 1º</w:t>
      </w:r>
      <w:r w:rsidR="00567B6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-</w:t>
      </w:r>
      <w:r w:rsidR="00AA60B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Os hospitais da rede pública</w:t>
      </w:r>
      <w:r w:rsidR="003E0347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="00AA60B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d</w:t>
      </w:r>
      <w:r w:rsidR="003E0347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o município de Niterói </w:t>
      </w:r>
      <w:r w:rsidR="004C10C5"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ficam obrigados a destinar um percentual mínimo de 30% (trinta por cento) de </w:t>
      </w:r>
      <w:r w:rsidR="004F7E7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hortaliças e frutas orgânicas </w:t>
      </w:r>
      <w:r w:rsidR="004C10C5"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na alimentação fornecida aos seus pacientes.</w:t>
      </w:r>
    </w:p>
    <w:p w14:paraId="18361867" w14:textId="77777777" w:rsidR="00DA0B91" w:rsidRPr="004767C9" w:rsidRDefault="00DA0B91" w:rsidP="00567B6F">
      <w:pPr>
        <w:shd w:val="clear" w:color="auto" w:fill="FFFFFF"/>
        <w:spacing w:before="0" w:after="0" w:line="276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07FB41B3" w14:textId="20D02F6D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Parágrafo único. A aquisição </w:t>
      </w:r>
      <w:r w:rsidR="004F7E7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das frutas e hortaliças orgânicas </w:t>
      </w: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para a alimentação dos pacientes dos hospitais da Rede</w:t>
      </w:r>
      <w:r w:rsidR="003E0347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Municipal</w:t>
      </w: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ocorrerá da seguinte forma escalonada e gradual:</w:t>
      </w:r>
    </w:p>
    <w:p w14:paraId="4D143303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1AF5E2C4" w14:textId="6DB82536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I - a aquisição </w:t>
      </w:r>
      <w:r w:rsidR="004F7E7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das frutas e hortaliças orgânicas </w:t>
      </w: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nos doze primeiros meses após a sanção desta Lei, deverá compor um percentual mínimo de 10%;</w:t>
      </w:r>
    </w:p>
    <w:p w14:paraId="66094986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0D568F19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II - Nos doze meses subsequentes, o percentual mínimo a ser adquirido será de 20%;</w:t>
      </w:r>
    </w:p>
    <w:p w14:paraId="4CBC5765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7071A910" w14:textId="4C7886CC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III - Nos doze meses subsequentes, o percentual mínimo de compra </w:t>
      </w:r>
      <w:r w:rsidR="004F7E7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das frutas e hortaliças orgânicas</w:t>
      </w: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para a alimentação de pacientes, atingirá os 30%.</w:t>
      </w:r>
    </w:p>
    <w:p w14:paraId="536FAFD1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7EB8B911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Art. 2º Caracteriza-se como produto orgânico, seja ele in natura ou processado, aquele obtido em sistema orgânico de produção agropecuário ou oriundo de processo extrativista sustentável e não prejudicial ao ecossistema local, nos termos do art. 2º, caput, da Lei Federal nº 10.831, de 23 de dezembro de 2003.</w:t>
      </w:r>
    </w:p>
    <w:p w14:paraId="0FA0C0B5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250D993A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Parágrafo único. Define-se como sistema orgânico de produção agropecuária todo aquele em que se adotam técnicas específicas, mediante a otimização do uso dos recursos naturais e socioeconômicos disponíveis e o respeito à integridade cultural das comunidades rurais, tendo por objetivo a sustentabilidade econômica e ecológica, a maximização dos benefícios sociais, a minimização da dependência de energia não-renovável, empregando, sempre que possível, métodos culturais, biológicos e mecânicos, em contraposição ao uso de materiais sintéticos, a eliminação do uso de </w:t>
      </w: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lastRenderedPageBreak/>
        <w:t>organismos geneticamente modificados e radiações ionizantes, em qualquer fase do processo de produção, processamento, armazenamento, distribuição e comercialização, e a proteção do meio ambiente, conforme preconiza o art. 1º, caput, da Lei Federal nº 10.831, de 23 de dezembro de 2003.</w:t>
      </w:r>
    </w:p>
    <w:p w14:paraId="15BC05C3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3A2A6F7B" w14:textId="304D9B06" w:rsidR="004C10C5" w:rsidRPr="004C10C5" w:rsidRDefault="004C10C5" w:rsidP="004F7E74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Art. 3º </w:t>
      </w:r>
      <w:r w:rsidR="004F7E7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</w:t>
      </w:r>
      <w:r w:rsidR="004F7E74"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aquisição </w:t>
      </w:r>
      <w:r w:rsidR="004F7E7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das </w:t>
      </w:r>
      <w:bookmarkStart w:id="0" w:name="_Hlk134030552"/>
      <w:r w:rsidR="004F7E7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frutas e hortaliças orgânicas </w:t>
      </w:r>
      <w:bookmarkEnd w:id="0"/>
      <w:r w:rsidR="004F7E7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deverá ser realizada </w:t>
      </w:r>
      <w:r w:rsidR="006E15D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preferencialmente de agricultores familiares</w:t>
      </w:r>
      <w:r w:rsidR="0062454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, </w:t>
      </w:r>
      <w:r w:rsidR="004F7E7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associações de produtores ou cooperativas</w:t>
      </w:r>
      <w:r w:rsidR="006E15D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.</w:t>
      </w:r>
      <w:r w:rsidR="004F7E7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 w:rsidR="006E15D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Todos os fornecedores frutas e hortaliças orgânicas deverão ter o </w:t>
      </w:r>
      <w:r w:rsidR="004F7E7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registro no Cadastro Nacional de Produtores Orgânicos do Ministério da Agricultura. </w:t>
      </w:r>
    </w:p>
    <w:p w14:paraId="09039109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68DFC774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6BF3AE64" w14:textId="1537EF6A" w:rsidR="004C10C5" w:rsidRPr="004C10C5" w:rsidRDefault="004F7E74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Art. 4º</w:t>
      </w: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Q</w:t>
      </w:r>
      <w:r w:rsidR="004C10C5"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uanto à origem </w:t>
      </w: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da</w:t>
      </w:r>
      <w:r w:rsidR="00CA34D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s frutas e hortaliças orgânicas,</w:t>
      </w:r>
      <w:r w:rsidR="004C10C5"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sendo urbano, </w:t>
      </w:r>
      <w:proofErr w:type="spellStart"/>
      <w:r w:rsidR="004C10C5"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periurbano</w:t>
      </w:r>
      <w:proofErr w:type="spellEnd"/>
      <w:r w:rsidR="004C10C5"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ou rural, terão preferência:</w:t>
      </w:r>
    </w:p>
    <w:p w14:paraId="7E7618D4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13A36971" w14:textId="39DA16A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a) os produzidos no município </w:t>
      </w:r>
      <w:r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de Niterói</w:t>
      </w: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;</w:t>
      </w:r>
    </w:p>
    <w:p w14:paraId="7F10C13B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40D1E294" w14:textId="147DA0F0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b) </w:t>
      </w:r>
      <w:r w:rsidR="004F7E7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os produzidos localmente, em municípios e regiões vizinhas ao município de Niterói; </w:t>
      </w:r>
    </w:p>
    <w:p w14:paraId="4EEE2234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20A307F3" w14:textId="5AF2A33F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c) demais </w:t>
      </w:r>
      <w:r w:rsidR="004F7E7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municípios e </w:t>
      </w: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estados da Federação.</w:t>
      </w:r>
    </w:p>
    <w:p w14:paraId="2974ADB3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7C387D3F" w14:textId="774CE603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Parágrafo único. </w:t>
      </w:r>
      <w:r w:rsidR="004D493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Em casos de terceirização dos serviços de</w:t>
      </w:r>
      <w:r w:rsidR="00CA34D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alimentação do hospital ou da </w:t>
      </w: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aquisição de gêneros alimentícios por empresas terceirizadas</w:t>
      </w:r>
      <w:r w:rsidR="004D493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, os contratos </w:t>
      </w: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deverão conter cláusulas prevendo sua nulidade em caso do não cumprimento do percentual exigido nesta Lei.</w:t>
      </w:r>
    </w:p>
    <w:p w14:paraId="1E29D632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2E92217D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371B9566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Art. 5º As despesas decorrentes da aplicação desta Lei correrão à conta de dotação orçamentária própria, suplementada se necessário.</w:t>
      </w:r>
    </w:p>
    <w:p w14:paraId="383F2D7E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6AC10088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Art. 6º O Poder Executivo regulamentará esta Lei no prazo máximo de 180 (cento e oitenta) dias, a contar de sua publicação.</w:t>
      </w:r>
    </w:p>
    <w:p w14:paraId="093E3F5F" w14:textId="77777777" w:rsidR="004C10C5" w:rsidRPr="004C10C5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7E9C34AF" w14:textId="3411CA72" w:rsidR="00DA0B91" w:rsidRPr="004767C9" w:rsidRDefault="004C10C5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  <w:r w:rsidRPr="004C10C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Art. 7º Esta Lei entra em vigor na data de sua publicação.</w:t>
      </w:r>
    </w:p>
    <w:p w14:paraId="25F336CB" w14:textId="7E89CBFB" w:rsidR="00BA5B1A" w:rsidRDefault="00BA5B1A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07634BE8" w14:textId="0763B02B" w:rsidR="00BA5B1A" w:rsidRDefault="00BA5B1A" w:rsidP="00567B6F">
      <w:pPr>
        <w:shd w:val="clear" w:color="auto" w:fill="FFFFFF"/>
        <w:spacing w:before="0" w:after="0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pt-BR"/>
        </w:rPr>
      </w:pPr>
    </w:p>
    <w:p w14:paraId="7991CB8B" w14:textId="30F9B72C" w:rsidR="00BA5B1A" w:rsidRDefault="00E04EEF" w:rsidP="00E04EEF">
      <w:pPr>
        <w:spacing w:beforeAutospacing="1" w:after="100" w:afterAutospacing="1" w:line="360" w:lineRule="auto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Sala de Sessões, 08 de maio</w:t>
      </w:r>
      <w:r w:rsidR="004C10C5">
        <w:rPr>
          <w:rFonts w:ascii="Tahoma" w:eastAsia="Times New Roman" w:hAnsi="Tahoma" w:cs="Tahoma"/>
          <w:sz w:val="24"/>
          <w:szCs w:val="24"/>
          <w:lang w:eastAsia="pt-BR"/>
        </w:rPr>
        <w:t xml:space="preserve"> de 2023</w:t>
      </w:r>
      <w:r w:rsidR="00BA5B1A">
        <w:rPr>
          <w:rFonts w:ascii="Tahoma" w:eastAsia="Times New Roman" w:hAnsi="Tahoma" w:cs="Tahoma"/>
          <w:sz w:val="24"/>
          <w:szCs w:val="24"/>
          <w:lang w:eastAsia="pt-BR"/>
        </w:rPr>
        <w:t xml:space="preserve">. </w:t>
      </w:r>
    </w:p>
    <w:p w14:paraId="326FDB79" w14:textId="77777777" w:rsidR="00E04EEF" w:rsidRDefault="00E04EEF" w:rsidP="00E04EEF">
      <w:pPr>
        <w:spacing w:before="0" w:after="0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693A889B" w14:textId="77777777" w:rsidR="00BA5B1A" w:rsidRPr="002066EC" w:rsidRDefault="00BA5B1A" w:rsidP="00E04EEF">
      <w:pPr>
        <w:spacing w:before="0" w:after="0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2066E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MARCOS SABINO</w:t>
      </w:r>
    </w:p>
    <w:p w14:paraId="7561BC86" w14:textId="76F4DD63" w:rsidR="00CD16F3" w:rsidRPr="00E04EEF" w:rsidRDefault="00BA5B1A" w:rsidP="00E04EEF">
      <w:pPr>
        <w:spacing w:before="0" w:after="0" w:line="36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Vereador</w:t>
      </w:r>
    </w:p>
    <w:p w14:paraId="08438A80" w14:textId="77777777" w:rsidR="00E04EEF" w:rsidRDefault="00CD16F3" w:rsidP="004D6780">
      <w:pPr>
        <w:pStyle w:val="NormalWeb"/>
        <w:spacing w:line="360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lastRenderedPageBreak/>
        <w:t xml:space="preserve">                                                   </w:t>
      </w:r>
    </w:p>
    <w:p w14:paraId="69B49156" w14:textId="016F7B7D" w:rsidR="00CC76FE" w:rsidRDefault="00E04EEF" w:rsidP="004D6780">
      <w:pPr>
        <w:pStyle w:val="NormalWeb"/>
        <w:spacing w:line="360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                                                </w:t>
      </w:r>
      <w:r w:rsidR="00CD16F3">
        <w:rPr>
          <w:rFonts w:ascii="Tahoma" w:hAnsi="Tahoma" w:cs="Tahoma"/>
          <w:b/>
          <w:bCs/>
        </w:rPr>
        <w:t xml:space="preserve">  </w:t>
      </w:r>
      <w:r w:rsidR="00CC76FE" w:rsidRPr="008829AE">
        <w:rPr>
          <w:rFonts w:ascii="Tahoma" w:hAnsi="Tahoma" w:cs="Tahoma"/>
          <w:b/>
          <w:bCs/>
        </w:rPr>
        <w:t>JUSTIFICATIVA</w:t>
      </w:r>
    </w:p>
    <w:p w14:paraId="323469FD" w14:textId="6AD529DD" w:rsidR="00CA4880" w:rsidRPr="00CA4880" w:rsidRDefault="00CA4880" w:rsidP="00CA4880">
      <w:pPr>
        <w:spacing w:beforeAutospacing="1" w:after="100" w:afterAutospacing="1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A presente proposição legislativa busca melhorar a qualidade da alimenta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ção que é servida aos pacientes 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dos hospit</w:t>
      </w:r>
      <w:r w:rsidR="00CD16F3">
        <w:rPr>
          <w:rFonts w:ascii="Tahoma" w:eastAsia="Times New Roman" w:hAnsi="Tahoma" w:cs="Tahoma"/>
          <w:sz w:val="24"/>
          <w:szCs w:val="24"/>
          <w:lang w:eastAsia="pt-BR"/>
        </w:rPr>
        <w:t>ais da rede pública do Município de Niterói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, pois se tem conhecimento de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 xml:space="preserve">que os alimentos orgânicos reúnem mais vitaminas, minerais e </w:t>
      </w:r>
      <w:r w:rsidR="004D4934">
        <w:rPr>
          <w:rFonts w:ascii="Tahoma" w:eastAsia="Times New Roman" w:hAnsi="Tahoma" w:cs="Tahoma"/>
          <w:sz w:val="24"/>
          <w:szCs w:val="24"/>
          <w:lang w:eastAsia="pt-BR"/>
        </w:rPr>
        <w:t xml:space="preserve">compostos </w:t>
      </w:r>
      <w:proofErr w:type="spellStart"/>
      <w:r w:rsidR="004D4934">
        <w:rPr>
          <w:rFonts w:ascii="Tahoma" w:eastAsia="Times New Roman" w:hAnsi="Tahoma" w:cs="Tahoma"/>
          <w:sz w:val="24"/>
          <w:szCs w:val="24"/>
          <w:lang w:eastAsia="pt-BR"/>
        </w:rPr>
        <w:t>bioativos</w:t>
      </w:r>
      <w:proofErr w:type="spellEnd"/>
      <w:r w:rsidRPr="00CA4880">
        <w:rPr>
          <w:rFonts w:ascii="Tahoma" w:eastAsia="Times New Roman" w:hAnsi="Tahoma" w:cs="Tahoma"/>
          <w:sz w:val="24"/>
          <w:szCs w:val="24"/>
          <w:lang w:eastAsia="pt-BR"/>
        </w:rPr>
        <w:t xml:space="preserve"> do que aqueles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 xml:space="preserve">cultivados no âmbito da agricultura </w:t>
      </w:r>
      <w:r w:rsidR="004D4934">
        <w:rPr>
          <w:rFonts w:ascii="Tahoma" w:eastAsia="Times New Roman" w:hAnsi="Tahoma" w:cs="Tahoma"/>
          <w:sz w:val="24"/>
          <w:szCs w:val="24"/>
          <w:lang w:eastAsia="pt-BR"/>
        </w:rPr>
        <w:t>convencional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14:paraId="0F85C70A" w14:textId="1431D628" w:rsidR="00CA4880" w:rsidRPr="00CA4880" w:rsidRDefault="00CA4880" w:rsidP="00CA4880">
      <w:pPr>
        <w:spacing w:beforeAutospacing="1" w:after="100" w:afterAutospacing="1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 w:rsidRPr="00CA4880">
        <w:rPr>
          <w:rFonts w:ascii="Tahoma" w:eastAsia="Times New Roman" w:hAnsi="Tahoma" w:cs="Tahoma"/>
          <w:sz w:val="24"/>
          <w:szCs w:val="24"/>
          <w:lang w:eastAsia="pt-BR"/>
        </w:rPr>
        <w:t xml:space="preserve">Além disso, esta iniciativa objetiva também criar, progressivamente, 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uma cultura de substituição dos 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 xml:space="preserve">alimentos oriundos da agricultura </w:t>
      </w:r>
      <w:r w:rsidR="004D4934">
        <w:rPr>
          <w:rFonts w:ascii="Tahoma" w:eastAsia="Times New Roman" w:hAnsi="Tahoma" w:cs="Tahoma"/>
          <w:sz w:val="24"/>
          <w:szCs w:val="24"/>
          <w:lang w:eastAsia="pt-BR"/>
        </w:rPr>
        <w:t>convencional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, na qual se observa o uso corrente</w:t>
      </w:r>
      <w:r w:rsidR="004D4934">
        <w:rPr>
          <w:rFonts w:ascii="Tahoma" w:eastAsia="Times New Roman" w:hAnsi="Tahoma" w:cs="Tahoma"/>
          <w:sz w:val="24"/>
          <w:szCs w:val="24"/>
          <w:lang w:eastAsia="pt-BR"/>
        </w:rPr>
        <w:t xml:space="preserve"> e abusivo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 xml:space="preserve"> de agrotóxicos</w:t>
      </w:r>
      <w:r w:rsidR="004D4934">
        <w:rPr>
          <w:rFonts w:ascii="Tahoma" w:eastAsia="Times New Roman" w:hAnsi="Tahoma" w:cs="Tahoma"/>
          <w:sz w:val="24"/>
          <w:szCs w:val="24"/>
          <w:lang w:eastAsia="pt-BR"/>
        </w:rPr>
        <w:t xml:space="preserve"> e adubos químicos com efeitos deletérios para o ambiente (água, solo, ar) e para as pessoas (consumidores e agricultores). </w:t>
      </w:r>
    </w:p>
    <w:p w14:paraId="17E26EBF" w14:textId="242F6913" w:rsidR="00CA4880" w:rsidRDefault="00CA4880" w:rsidP="00CA4880">
      <w:pPr>
        <w:spacing w:beforeAutospacing="1" w:after="100" w:afterAutospacing="1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Sobre o uso nefasto dos agrotóxicos, o Instituto Nacional de Câncer (INCA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), em nota técnica, afirmou que 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“o modelo de cultivo com o intensivo uso de agrotóxicos gera grandes malefícios, como poluição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ambiental e intoxicação de trabalhadores e da população em geral. (...) Os efeitos adversos decorrentes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da exposição crônica aos agrotóxicos podem aparecer muito tempo após a exposição, dificultando a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correlação com o agente. Dentre os efeitos associados à exposição crônica a ingredientes ativos de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agrotóxicos podem ser citados infertilidade, impotência, abortos, malformações, neurotoxicidade,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desregulação hormonal, efeitos sobre o sistema imunológico e câncer”.</w:t>
      </w:r>
    </w:p>
    <w:p w14:paraId="29C8127B" w14:textId="759956C9" w:rsidR="004D4934" w:rsidRPr="00CA4880" w:rsidRDefault="004D4934" w:rsidP="00CA4880">
      <w:pPr>
        <w:spacing w:beforeAutospacing="1" w:after="100" w:afterAutospacing="1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Políticas públicas que promovem o consumo de alimentos orgânicos t</w:t>
      </w:r>
      <w:r w:rsidR="000D1136">
        <w:rPr>
          <w:rFonts w:ascii="Tahoma" w:eastAsia="Times New Roman" w:hAnsi="Tahoma" w:cs="Tahoma"/>
          <w:sz w:val="24"/>
          <w:szCs w:val="24"/>
          <w:lang w:eastAsia="pt-BR"/>
        </w:rPr>
        <w:t>ê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m </w:t>
      </w:r>
      <w:r w:rsidR="000D1136">
        <w:rPr>
          <w:rFonts w:ascii="Tahoma" w:eastAsia="Times New Roman" w:hAnsi="Tahoma" w:cs="Tahoma"/>
          <w:sz w:val="24"/>
          <w:szCs w:val="24"/>
          <w:lang w:eastAsia="pt-BR"/>
        </w:rPr>
        <w:t xml:space="preserve">triplo papel em benefício da alimentação saudável, da sustentabilidade sócio ambiental e do desenvolvimento local com a inclusão produtiva de pequenos agricultores. </w:t>
      </w:r>
    </w:p>
    <w:p w14:paraId="2AC6BB0A" w14:textId="56DFAC92" w:rsidR="00CA4880" w:rsidRDefault="00CA4880" w:rsidP="00CA4880">
      <w:pPr>
        <w:spacing w:beforeAutospacing="1" w:after="100" w:afterAutospacing="1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 w:rsidRPr="00CA4880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>Desta feita, com o intuito de que se promova o bem-estar e uma m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elhoria das condições gerais de 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 xml:space="preserve">recuperação da saúde dos pacientes dos hospitais da rede pública do </w:t>
      </w:r>
      <w:r w:rsidR="00CD16F3">
        <w:rPr>
          <w:rFonts w:ascii="Tahoma" w:eastAsia="Times New Roman" w:hAnsi="Tahoma" w:cs="Tahoma"/>
          <w:sz w:val="24"/>
          <w:szCs w:val="24"/>
          <w:lang w:eastAsia="pt-BR"/>
        </w:rPr>
        <w:t xml:space="preserve">Município de Niterói 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é necessário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CA4880">
        <w:rPr>
          <w:rFonts w:ascii="Tahoma" w:eastAsia="Times New Roman" w:hAnsi="Tahoma" w:cs="Tahoma"/>
          <w:sz w:val="24"/>
          <w:szCs w:val="24"/>
          <w:lang w:eastAsia="pt-BR"/>
        </w:rPr>
        <w:t>atentar-se para esta necessidade de qualificação de alimentação que lhes é servida.</w:t>
      </w:r>
    </w:p>
    <w:p w14:paraId="4F388162" w14:textId="63FF7D28" w:rsidR="00CC76FE" w:rsidRDefault="002066EC" w:rsidP="00483B86">
      <w:pPr>
        <w:spacing w:beforeAutospacing="1" w:after="100" w:afterAutospacing="1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Conto com o apoio desta E. Casa Legislativa para a aprovação de mais uma iniciativa de valorização da cultura do Município de Niterói. </w:t>
      </w:r>
    </w:p>
    <w:p w14:paraId="0420DDD2" w14:textId="77777777" w:rsidR="00BA5B1A" w:rsidRDefault="00BA5B1A" w:rsidP="002066EC">
      <w:pPr>
        <w:spacing w:beforeAutospacing="1" w:after="100" w:afterAutospacing="1" w:line="360" w:lineRule="auto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0DDA774C" w14:textId="0A6DCB5B" w:rsidR="002066EC" w:rsidRDefault="00CA4880" w:rsidP="002066EC">
      <w:pPr>
        <w:spacing w:beforeAutospacing="1" w:after="100" w:afterAutospacing="1" w:line="360" w:lineRule="auto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Sala de Sessões, </w:t>
      </w:r>
      <w:r w:rsidR="0062454D">
        <w:rPr>
          <w:rFonts w:ascii="Tahoma" w:eastAsia="Times New Roman" w:hAnsi="Tahoma" w:cs="Tahoma"/>
          <w:sz w:val="24"/>
          <w:szCs w:val="24"/>
          <w:lang w:eastAsia="pt-BR"/>
        </w:rPr>
        <w:t>08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de </w:t>
      </w:r>
      <w:r w:rsidR="0062454D">
        <w:rPr>
          <w:rFonts w:ascii="Tahoma" w:eastAsia="Times New Roman" w:hAnsi="Tahoma" w:cs="Tahoma"/>
          <w:sz w:val="24"/>
          <w:szCs w:val="24"/>
          <w:lang w:eastAsia="pt-BR"/>
        </w:rPr>
        <w:t>maio</w:t>
      </w:r>
      <w:r w:rsidR="002066EC">
        <w:rPr>
          <w:rFonts w:ascii="Tahoma" w:eastAsia="Times New Roman" w:hAnsi="Tahoma" w:cs="Tahoma"/>
          <w:sz w:val="24"/>
          <w:szCs w:val="24"/>
          <w:lang w:eastAsia="pt-BR"/>
        </w:rPr>
        <w:t xml:space="preserve"> de 2022.</w:t>
      </w:r>
    </w:p>
    <w:p w14:paraId="5B715ED1" w14:textId="0CF0D2FA" w:rsidR="002066EC" w:rsidRDefault="002066EC" w:rsidP="002066EC">
      <w:pPr>
        <w:spacing w:beforeAutospacing="1" w:after="100" w:afterAutospacing="1" w:line="360" w:lineRule="auto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</w:p>
    <w:p w14:paraId="29FD927F" w14:textId="1E1462E1" w:rsidR="002066EC" w:rsidRPr="002066EC" w:rsidRDefault="002066EC" w:rsidP="002066EC">
      <w:pPr>
        <w:spacing w:before="0" w:after="0" w:line="36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2066E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MARCOS SABINO</w:t>
      </w:r>
    </w:p>
    <w:p w14:paraId="0F2216FA" w14:textId="2DF6321A" w:rsidR="002066EC" w:rsidRPr="008829AE" w:rsidRDefault="002066EC" w:rsidP="002066EC">
      <w:pPr>
        <w:spacing w:before="0" w:after="0" w:line="36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Vereador</w:t>
      </w:r>
      <w:bookmarkStart w:id="1" w:name="_GoBack"/>
      <w:bookmarkEnd w:id="1"/>
    </w:p>
    <w:p w14:paraId="45C87115" w14:textId="77777777" w:rsidR="00CC76FE" w:rsidRPr="008829AE" w:rsidRDefault="00CC76FE" w:rsidP="00483B86">
      <w:pPr>
        <w:spacing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sectPr w:rsidR="00CC76FE" w:rsidRPr="008829AE" w:rsidSect="00E04EEF">
      <w:headerReference w:type="default" r:id="rId6"/>
      <w:footerReference w:type="default" r:id="rId7"/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859AD4" w14:textId="77777777" w:rsidR="00E83654" w:rsidRDefault="00E83654" w:rsidP="00CC76FE">
      <w:pPr>
        <w:spacing w:before="0" w:after="0"/>
      </w:pPr>
      <w:r>
        <w:separator/>
      </w:r>
    </w:p>
  </w:endnote>
  <w:endnote w:type="continuationSeparator" w:id="0">
    <w:p w14:paraId="156A0D0B" w14:textId="77777777" w:rsidR="00E83654" w:rsidRDefault="00E83654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EEFE04" w14:textId="77777777" w:rsidR="000738A9" w:rsidRPr="00EC76DF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C76DF">
      <w:rPr>
        <w:rFonts w:ascii="Tahoma" w:hAnsi="Tahoma" w:cs="Tahoma"/>
        <w:sz w:val="20"/>
      </w:rPr>
      <w:t>Av. Amaral Peixoto, 625 / Gabinete 44 – Centro – Niterói – RJ – CEP: 24.023-900</w:t>
    </w:r>
  </w:p>
  <w:p w14:paraId="0B939D1F" w14:textId="77777777" w:rsidR="000738A9" w:rsidRPr="00EC76DF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C76DF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6450C4" w14:textId="77777777" w:rsidR="00E83654" w:rsidRDefault="00E83654" w:rsidP="00CC76FE">
      <w:pPr>
        <w:spacing w:before="0" w:after="0"/>
      </w:pPr>
      <w:r>
        <w:separator/>
      </w:r>
    </w:p>
  </w:footnote>
  <w:footnote w:type="continuationSeparator" w:id="0">
    <w:p w14:paraId="0AC72D78" w14:textId="77777777" w:rsidR="00E83654" w:rsidRDefault="00E83654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A5F10F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5D8DA5D3" wp14:editId="3A92E8CC">
          <wp:extent cx="944880" cy="1133475"/>
          <wp:effectExtent l="0" t="0" r="762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394" cy="114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21D8FBC" w14:textId="2D79C125"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</w:t>
    </w:r>
    <w:r w:rsidR="004767C9">
      <w:rPr>
        <w:rFonts w:ascii="Tahoma" w:hAnsi="Tahoma" w:cs="Tahoma"/>
        <w:b/>
        <w:sz w:val="28"/>
        <w:szCs w:val="28"/>
      </w:rPr>
      <w:t xml:space="preserve"> do</w:t>
    </w:r>
    <w:r>
      <w:rPr>
        <w:rFonts w:ascii="Tahoma" w:hAnsi="Tahoma" w:cs="Tahoma"/>
        <w:b/>
        <w:sz w:val="28"/>
        <w:szCs w:val="28"/>
      </w:rPr>
      <w:t xml:space="preserve"> Vereador </w:t>
    </w:r>
    <w:r w:rsidR="004767C9">
      <w:rPr>
        <w:rFonts w:ascii="Tahoma" w:hAnsi="Tahoma" w:cs="Tahoma"/>
        <w:b/>
        <w:sz w:val="28"/>
        <w:szCs w:val="28"/>
      </w:rPr>
      <w:t>Marcos Sabino</w:t>
    </w:r>
  </w:p>
  <w:p w14:paraId="32F37A1D" w14:textId="77777777" w:rsidR="0009161B" w:rsidRDefault="0009161B" w:rsidP="009F0FBD">
    <w:pPr>
      <w:pStyle w:val="Cabealho"/>
      <w:rPr>
        <w:rFonts w:ascii="Tahoma" w:hAnsi="Tahoma" w:cs="Tahoma"/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C44"/>
    <w:rsid w:val="00005F02"/>
    <w:rsid w:val="000738A9"/>
    <w:rsid w:val="0009161B"/>
    <w:rsid w:val="000A7169"/>
    <w:rsid w:val="000D1136"/>
    <w:rsid w:val="000D46CC"/>
    <w:rsid w:val="000D47E8"/>
    <w:rsid w:val="00117E8B"/>
    <w:rsid w:val="00137B6B"/>
    <w:rsid w:val="00164CBF"/>
    <w:rsid w:val="001E5676"/>
    <w:rsid w:val="002066EC"/>
    <w:rsid w:val="002354AF"/>
    <w:rsid w:val="002C3E7F"/>
    <w:rsid w:val="002D3B6D"/>
    <w:rsid w:val="002D5085"/>
    <w:rsid w:val="002E1C74"/>
    <w:rsid w:val="0032608E"/>
    <w:rsid w:val="00331846"/>
    <w:rsid w:val="00362A9E"/>
    <w:rsid w:val="003654F3"/>
    <w:rsid w:val="0037721F"/>
    <w:rsid w:val="0038047D"/>
    <w:rsid w:val="003A13B4"/>
    <w:rsid w:val="003E0347"/>
    <w:rsid w:val="003F75C0"/>
    <w:rsid w:val="00414367"/>
    <w:rsid w:val="00435CA9"/>
    <w:rsid w:val="004767C9"/>
    <w:rsid w:val="00483B86"/>
    <w:rsid w:val="004847D9"/>
    <w:rsid w:val="004938C4"/>
    <w:rsid w:val="004A4C32"/>
    <w:rsid w:val="004B2E42"/>
    <w:rsid w:val="004C10C5"/>
    <w:rsid w:val="004D4934"/>
    <w:rsid w:val="004D6780"/>
    <w:rsid w:val="004F7E74"/>
    <w:rsid w:val="005661A8"/>
    <w:rsid w:val="00567B6F"/>
    <w:rsid w:val="00581BE5"/>
    <w:rsid w:val="00590C83"/>
    <w:rsid w:val="005C6A2F"/>
    <w:rsid w:val="00622892"/>
    <w:rsid w:val="0062454D"/>
    <w:rsid w:val="00660476"/>
    <w:rsid w:val="006A5705"/>
    <w:rsid w:val="006B0AAB"/>
    <w:rsid w:val="006B754F"/>
    <w:rsid w:val="006E15DC"/>
    <w:rsid w:val="006F2D59"/>
    <w:rsid w:val="007A21D5"/>
    <w:rsid w:val="007B16AB"/>
    <w:rsid w:val="00873B1D"/>
    <w:rsid w:val="008801B9"/>
    <w:rsid w:val="008829AE"/>
    <w:rsid w:val="008971F7"/>
    <w:rsid w:val="008A5FBA"/>
    <w:rsid w:val="009C2B44"/>
    <w:rsid w:val="009F0FBD"/>
    <w:rsid w:val="009F25AD"/>
    <w:rsid w:val="00A01844"/>
    <w:rsid w:val="00A42398"/>
    <w:rsid w:val="00A64146"/>
    <w:rsid w:val="00AA60BD"/>
    <w:rsid w:val="00B07542"/>
    <w:rsid w:val="00B37C82"/>
    <w:rsid w:val="00B57849"/>
    <w:rsid w:val="00BA5B1A"/>
    <w:rsid w:val="00BB2E86"/>
    <w:rsid w:val="00BD481F"/>
    <w:rsid w:val="00C50B69"/>
    <w:rsid w:val="00CA34DF"/>
    <w:rsid w:val="00CA4880"/>
    <w:rsid w:val="00CC292B"/>
    <w:rsid w:val="00CC76FE"/>
    <w:rsid w:val="00CD16F3"/>
    <w:rsid w:val="00CE17F8"/>
    <w:rsid w:val="00D05B84"/>
    <w:rsid w:val="00D33E95"/>
    <w:rsid w:val="00D50C44"/>
    <w:rsid w:val="00D778D2"/>
    <w:rsid w:val="00D80779"/>
    <w:rsid w:val="00D9630C"/>
    <w:rsid w:val="00DA0B91"/>
    <w:rsid w:val="00DB13B2"/>
    <w:rsid w:val="00DC5607"/>
    <w:rsid w:val="00E04EEF"/>
    <w:rsid w:val="00E176A2"/>
    <w:rsid w:val="00E23581"/>
    <w:rsid w:val="00E4484F"/>
    <w:rsid w:val="00E615F9"/>
    <w:rsid w:val="00E82281"/>
    <w:rsid w:val="00E83654"/>
    <w:rsid w:val="00E95884"/>
    <w:rsid w:val="00EA0226"/>
    <w:rsid w:val="00EB5765"/>
    <w:rsid w:val="00EC76DF"/>
    <w:rsid w:val="00EF2306"/>
    <w:rsid w:val="00F52DE2"/>
    <w:rsid w:val="00F93B84"/>
    <w:rsid w:val="00F96ACA"/>
    <w:rsid w:val="00FA44D0"/>
    <w:rsid w:val="00FD5481"/>
    <w:rsid w:val="00FD59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9D67F"/>
  <w15:docId w15:val="{FE2B623B-5A83-4D63-A42C-C7184FA44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4F7E74"/>
    <w:pPr>
      <w:spacing w:after="0" w:line="240" w:lineRule="auto"/>
    </w:pPr>
    <w:rPr>
      <w:rFonts w:eastAsiaTheme="minorEastAsi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3329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1</Pages>
  <Words>876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Ver Binho</cp:lastModifiedBy>
  <cp:revision>6</cp:revision>
  <cp:lastPrinted>2023-05-08T17:38:00Z</cp:lastPrinted>
  <dcterms:created xsi:type="dcterms:W3CDTF">2023-05-08T17:22:00Z</dcterms:created>
  <dcterms:modified xsi:type="dcterms:W3CDTF">2023-05-09T14:55:00Z</dcterms:modified>
</cp:coreProperties>
</file>