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582" w:rsidRDefault="00BF41E5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bookmarkStart w:id="0" w:name="_heading=h.gjdgxs" w:colFirst="0" w:colLast="0"/>
      <w:bookmarkEnd w:id="0"/>
      <w:r>
        <w:rPr>
          <w:rFonts w:ascii="Garamond" w:eastAsia="Garamond" w:hAnsi="Garamond" w:cs="Garamond"/>
          <w:b/>
          <w:sz w:val="26"/>
          <w:szCs w:val="26"/>
        </w:rPr>
        <w:t>P</w:t>
      </w:r>
      <w:r w:rsidR="00A061C9">
        <w:rPr>
          <w:rFonts w:ascii="Garamond" w:eastAsia="Garamond" w:hAnsi="Garamond" w:cs="Garamond"/>
          <w:b/>
          <w:sz w:val="26"/>
          <w:szCs w:val="26"/>
        </w:rPr>
        <w:t>ROJETO DE LEI Nº ____ /2023</w:t>
      </w:r>
    </w:p>
    <w:p w:rsidR="0048639D" w:rsidRPr="0048639D" w:rsidRDefault="0048639D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</w:p>
    <w:p w:rsidR="00552582" w:rsidRDefault="00BF41E5">
      <w:pPr>
        <w:spacing w:after="160" w:line="360" w:lineRule="auto"/>
        <w:ind w:left="3968"/>
        <w:jc w:val="both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 xml:space="preserve">EMENTA: </w:t>
      </w:r>
      <w:r w:rsidR="00A061C9">
        <w:rPr>
          <w:rFonts w:ascii="Garamond" w:eastAsia="Garamond" w:hAnsi="Garamond" w:cs="Garamond"/>
          <w:b/>
          <w:sz w:val="26"/>
          <w:szCs w:val="26"/>
        </w:rPr>
        <w:t xml:space="preserve">REVOGA OS ARTIGOS 4º E 5º DA </w:t>
      </w:r>
      <w:r w:rsidR="00A061C9" w:rsidRPr="00A061C9">
        <w:rPr>
          <w:rFonts w:ascii="Garamond" w:eastAsia="Garamond" w:hAnsi="Garamond" w:cs="Garamond"/>
          <w:b/>
          <w:sz w:val="26"/>
          <w:szCs w:val="26"/>
        </w:rPr>
        <w:t>LEI</w:t>
      </w:r>
      <w:r w:rsidR="00A061C9">
        <w:rPr>
          <w:rFonts w:ascii="Garamond" w:eastAsia="Garamond" w:hAnsi="Garamond" w:cs="Garamond"/>
          <w:b/>
          <w:sz w:val="26"/>
          <w:szCs w:val="26"/>
        </w:rPr>
        <w:t xml:space="preserve"> MUNICIPAL</w:t>
      </w:r>
      <w:r w:rsidR="00A061C9" w:rsidRPr="00A061C9">
        <w:rPr>
          <w:rFonts w:ascii="Garamond" w:eastAsia="Garamond" w:hAnsi="Garamond" w:cs="Garamond"/>
          <w:b/>
          <w:sz w:val="26"/>
          <w:szCs w:val="26"/>
        </w:rPr>
        <w:t xml:space="preserve"> Nº 3.766</w:t>
      </w:r>
      <w:r w:rsidR="00A061C9">
        <w:rPr>
          <w:rFonts w:ascii="Garamond" w:eastAsia="Garamond" w:hAnsi="Garamond" w:cs="Garamond"/>
          <w:b/>
          <w:sz w:val="26"/>
          <w:szCs w:val="26"/>
        </w:rPr>
        <w:t>/</w:t>
      </w:r>
      <w:r w:rsidR="00A061C9" w:rsidRPr="00A061C9">
        <w:rPr>
          <w:rFonts w:ascii="Garamond" w:eastAsia="Garamond" w:hAnsi="Garamond" w:cs="Garamond"/>
          <w:b/>
          <w:sz w:val="26"/>
          <w:szCs w:val="26"/>
        </w:rPr>
        <w:t>2023</w:t>
      </w:r>
      <w:r>
        <w:rPr>
          <w:rFonts w:ascii="Garamond" w:eastAsia="Garamond" w:hAnsi="Garamond" w:cs="Garamond"/>
          <w:b/>
          <w:sz w:val="26"/>
          <w:szCs w:val="26"/>
        </w:rPr>
        <w:t>.</w:t>
      </w:r>
    </w:p>
    <w:p w:rsidR="00552582" w:rsidRPr="00A061C9" w:rsidRDefault="00552582">
      <w:pPr>
        <w:spacing w:after="160" w:line="360" w:lineRule="auto"/>
        <w:ind w:left="3968"/>
        <w:jc w:val="both"/>
        <w:rPr>
          <w:rFonts w:ascii="Garamond" w:eastAsia="Garamond" w:hAnsi="Garamond" w:cs="Garamond"/>
          <w:sz w:val="26"/>
          <w:szCs w:val="26"/>
        </w:rPr>
      </w:pPr>
    </w:p>
    <w:p w:rsidR="00552582" w:rsidRDefault="00BF41E5" w:rsidP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</w:rPr>
      </w:pPr>
      <w:r w:rsidRPr="00A061C9">
        <w:rPr>
          <w:rFonts w:ascii="Garamond" w:eastAsia="Garamond" w:hAnsi="Garamond" w:cs="Garamond"/>
          <w:sz w:val="26"/>
          <w:szCs w:val="26"/>
          <w:highlight w:val="white"/>
        </w:rPr>
        <w:t xml:space="preserve">Artigo 1º - </w:t>
      </w:r>
      <w:r w:rsidR="00A061C9" w:rsidRPr="00A061C9">
        <w:rPr>
          <w:rFonts w:ascii="Garamond" w:eastAsia="Garamond" w:hAnsi="Garamond" w:cs="Garamond"/>
          <w:sz w:val="26"/>
          <w:szCs w:val="26"/>
          <w:highlight w:val="white"/>
        </w:rPr>
        <w:t>R</w:t>
      </w:r>
      <w:r w:rsidR="0048639D">
        <w:rPr>
          <w:rFonts w:ascii="Garamond" w:eastAsia="Garamond" w:hAnsi="Garamond" w:cs="Garamond"/>
          <w:sz w:val="26"/>
          <w:szCs w:val="26"/>
          <w:highlight w:val="white"/>
        </w:rPr>
        <w:t>evoga o artigo</w:t>
      </w:r>
      <w:r w:rsidR="00A061C9" w:rsidRPr="00A061C9">
        <w:rPr>
          <w:rFonts w:ascii="Garamond" w:eastAsia="Garamond" w:hAnsi="Garamond" w:cs="Garamond"/>
          <w:sz w:val="26"/>
          <w:szCs w:val="26"/>
          <w:highlight w:val="white"/>
        </w:rPr>
        <w:t xml:space="preserve"> 4º da Lei Municipal nº </w:t>
      </w:r>
      <w:r w:rsidR="00A061C9" w:rsidRPr="00A061C9">
        <w:rPr>
          <w:rFonts w:ascii="Garamond" w:eastAsia="Garamond" w:hAnsi="Garamond" w:cs="Garamond"/>
          <w:sz w:val="26"/>
          <w:szCs w:val="26"/>
        </w:rPr>
        <w:t>3.766/2023.</w:t>
      </w:r>
    </w:p>
    <w:p w:rsidR="0048639D" w:rsidRDefault="0048639D" w:rsidP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  <w:highlight w:val="white"/>
        </w:rPr>
        <w:t>Artigo 2</w:t>
      </w:r>
      <w:r w:rsidRPr="00A061C9">
        <w:rPr>
          <w:rFonts w:ascii="Garamond" w:eastAsia="Garamond" w:hAnsi="Garamond" w:cs="Garamond"/>
          <w:sz w:val="26"/>
          <w:szCs w:val="26"/>
          <w:highlight w:val="white"/>
        </w:rPr>
        <w:t>º - R</w:t>
      </w:r>
      <w:r>
        <w:rPr>
          <w:rFonts w:ascii="Garamond" w:eastAsia="Garamond" w:hAnsi="Garamond" w:cs="Garamond"/>
          <w:sz w:val="26"/>
          <w:szCs w:val="26"/>
          <w:highlight w:val="white"/>
        </w:rPr>
        <w:t>evoga o artigo 5</w:t>
      </w:r>
      <w:r w:rsidRPr="00A061C9">
        <w:rPr>
          <w:rFonts w:ascii="Garamond" w:eastAsia="Garamond" w:hAnsi="Garamond" w:cs="Garamond"/>
          <w:sz w:val="26"/>
          <w:szCs w:val="26"/>
          <w:highlight w:val="white"/>
        </w:rPr>
        <w:t xml:space="preserve">º da Lei Municipal nº </w:t>
      </w:r>
      <w:r w:rsidRPr="00A061C9">
        <w:rPr>
          <w:rFonts w:ascii="Garamond" w:eastAsia="Garamond" w:hAnsi="Garamond" w:cs="Garamond"/>
          <w:sz w:val="26"/>
          <w:szCs w:val="26"/>
        </w:rPr>
        <w:t>3.766/2023</w:t>
      </w:r>
      <w:r>
        <w:rPr>
          <w:rFonts w:ascii="Garamond" w:eastAsia="Garamond" w:hAnsi="Garamond" w:cs="Garamond"/>
          <w:sz w:val="26"/>
          <w:szCs w:val="26"/>
        </w:rPr>
        <w:t xml:space="preserve">, passando a vigorar a redação revogada pela Lei Municipal </w:t>
      </w:r>
      <w:r w:rsidRPr="00A061C9">
        <w:rPr>
          <w:rFonts w:ascii="Garamond" w:eastAsia="Garamond" w:hAnsi="Garamond" w:cs="Garamond"/>
          <w:sz w:val="26"/>
          <w:szCs w:val="26"/>
          <w:highlight w:val="white"/>
        </w:rPr>
        <w:t xml:space="preserve">nº </w:t>
      </w:r>
      <w:r w:rsidRPr="00A061C9">
        <w:rPr>
          <w:rFonts w:ascii="Garamond" w:eastAsia="Garamond" w:hAnsi="Garamond" w:cs="Garamond"/>
          <w:sz w:val="26"/>
          <w:szCs w:val="26"/>
        </w:rPr>
        <w:t>3.766/2023.</w:t>
      </w:r>
    </w:p>
    <w:p w:rsidR="00A061C9" w:rsidRPr="00A061C9" w:rsidRDefault="00A061C9" w:rsidP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 xml:space="preserve">Artigo </w:t>
      </w:r>
      <w:r w:rsidR="0048639D">
        <w:rPr>
          <w:rFonts w:ascii="Garamond" w:eastAsia="Garamond" w:hAnsi="Garamond" w:cs="Garamond"/>
          <w:sz w:val="26"/>
          <w:szCs w:val="26"/>
        </w:rPr>
        <w:t>3</w:t>
      </w:r>
      <w:r>
        <w:rPr>
          <w:rFonts w:ascii="Garamond" w:eastAsia="Garamond" w:hAnsi="Garamond" w:cs="Garamond"/>
          <w:sz w:val="26"/>
          <w:szCs w:val="26"/>
        </w:rPr>
        <w:t>º - Altera o artigo 3º da L</w:t>
      </w:r>
      <w:r w:rsidRPr="00A061C9">
        <w:rPr>
          <w:rFonts w:ascii="Garamond" w:eastAsia="Garamond" w:hAnsi="Garamond" w:cs="Garamond"/>
          <w:sz w:val="26"/>
          <w:szCs w:val="26"/>
        </w:rPr>
        <w:t>ei</w:t>
      </w:r>
      <w:r>
        <w:rPr>
          <w:rFonts w:ascii="Garamond" w:eastAsia="Garamond" w:hAnsi="Garamond" w:cs="Garamond"/>
          <w:sz w:val="26"/>
          <w:szCs w:val="26"/>
        </w:rPr>
        <w:t xml:space="preserve"> Municipal nº</w:t>
      </w:r>
      <w:r w:rsidRPr="00A061C9">
        <w:rPr>
          <w:rFonts w:ascii="Garamond" w:eastAsia="Garamond" w:hAnsi="Garamond" w:cs="Garamond"/>
          <w:sz w:val="26"/>
          <w:szCs w:val="26"/>
        </w:rPr>
        <w:t xml:space="preserve"> 2</w:t>
      </w:r>
      <w:r>
        <w:rPr>
          <w:rFonts w:ascii="Garamond" w:eastAsia="Garamond" w:hAnsi="Garamond" w:cs="Garamond"/>
          <w:sz w:val="26"/>
          <w:szCs w:val="26"/>
        </w:rPr>
        <w:t>.</w:t>
      </w:r>
      <w:r w:rsidRPr="00A061C9">
        <w:rPr>
          <w:rFonts w:ascii="Garamond" w:eastAsia="Garamond" w:hAnsi="Garamond" w:cs="Garamond"/>
          <w:sz w:val="26"/>
          <w:szCs w:val="26"/>
        </w:rPr>
        <w:t xml:space="preserve">659/2009, que passa a </w:t>
      </w:r>
      <w:r>
        <w:rPr>
          <w:rFonts w:ascii="Garamond" w:eastAsia="Garamond" w:hAnsi="Garamond" w:cs="Garamond"/>
          <w:sz w:val="26"/>
          <w:szCs w:val="26"/>
        </w:rPr>
        <w:t>vigorar com a seguinte redação:</w:t>
      </w:r>
    </w:p>
    <w:p w:rsidR="00A061C9" w:rsidRPr="00A061C9" w:rsidRDefault="00A061C9" w:rsidP="00A061C9">
      <w:pPr>
        <w:spacing w:before="240" w:after="240" w:line="276" w:lineRule="auto"/>
        <w:ind w:left="1701"/>
        <w:jc w:val="both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“</w:t>
      </w:r>
      <w:r w:rsidRPr="00A061C9">
        <w:rPr>
          <w:rFonts w:ascii="Garamond" w:eastAsia="Garamond" w:hAnsi="Garamond" w:cs="Garamond"/>
          <w:sz w:val="26"/>
          <w:szCs w:val="26"/>
        </w:rPr>
        <w:t xml:space="preserve">Art. 3º. O não cumprimento do </w:t>
      </w:r>
      <w:r>
        <w:rPr>
          <w:rFonts w:ascii="Garamond" w:eastAsia="Garamond" w:hAnsi="Garamond" w:cs="Garamond"/>
          <w:sz w:val="26"/>
          <w:szCs w:val="26"/>
        </w:rPr>
        <w:t>disposto</w:t>
      </w:r>
      <w:r w:rsidRPr="00A061C9">
        <w:rPr>
          <w:rFonts w:ascii="Garamond" w:eastAsia="Garamond" w:hAnsi="Garamond" w:cs="Garamond"/>
          <w:sz w:val="26"/>
          <w:szCs w:val="26"/>
        </w:rPr>
        <w:t xml:space="preserve"> nos artigos 1º e 2º da presente Lei sujeitará os infra</w:t>
      </w:r>
      <w:r>
        <w:rPr>
          <w:rFonts w:ascii="Garamond" w:eastAsia="Garamond" w:hAnsi="Garamond" w:cs="Garamond"/>
          <w:sz w:val="26"/>
          <w:szCs w:val="26"/>
        </w:rPr>
        <w:t xml:space="preserve">tores aos procedimentos </w:t>
      </w:r>
      <w:r w:rsidR="0048639D">
        <w:rPr>
          <w:rFonts w:ascii="Garamond" w:eastAsia="Garamond" w:hAnsi="Garamond" w:cs="Garamond"/>
          <w:sz w:val="26"/>
          <w:szCs w:val="26"/>
        </w:rPr>
        <w:t>constantes n</w:t>
      </w:r>
      <w:r>
        <w:rPr>
          <w:rFonts w:ascii="Garamond" w:eastAsia="Garamond" w:hAnsi="Garamond" w:cs="Garamond"/>
          <w:sz w:val="26"/>
          <w:szCs w:val="26"/>
        </w:rPr>
        <w:t xml:space="preserve">a Lei Municipal nº </w:t>
      </w:r>
      <w:r w:rsidRPr="00A061C9">
        <w:rPr>
          <w:rFonts w:ascii="Garamond" w:eastAsia="Garamond" w:hAnsi="Garamond" w:cs="Garamond"/>
          <w:sz w:val="26"/>
          <w:szCs w:val="26"/>
        </w:rPr>
        <w:t>2</w:t>
      </w:r>
      <w:r>
        <w:rPr>
          <w:rFonts w:ascii="Garamond" w:eastAsia="Garamond" w:hAnsi="Garamond" w:cs="Garamond"/>
          <w:sz w:val="26"/>
          <w:szCs w:val="26"/>
        </w:rPr>
        <w:t>.</w:t>
      </w:r>
      <w:r w:rsidRPr="00A061C9">
        <w:rPr>
          <w:rFonts w:ascii="Garamond" w:eastAsia="Garamond" w:hAnsi="Garamond" w:cs="Garamond"/>
          <w:sz w:val="26"/>
          <w:szCs w:val="26"/>
        </w:rPr>
        <w:t>564</w:t>
      </w:r>
      <w:r>
        <w:rPr>
          <w:rFonts w:ascii="Garamond" w:eastAsia="Garamond" w:hAnsi="Garamond" w:cs="Garamond"/>
          <w:sz w:val="26"/>
          <w:szCs w:val="26"/>
        </w:rPr>
        <w:t>/2008 (Código Sanitário Municipal)</w:t>
      </w:r>
      <w:r w:rsidRPr="00A061C9">
        <w:rPr>
          <w:rFonts w:ascii="Garamond" w:eastAsia="Garamond" w:hAnsi="Garamond" w:cs="Garamond"/>
          <w:sz w:val="26"/>
          <w:szCs w:val="26"/>
        </w:rPr>
        <w:t>.</w:t>
      </w:r>
      <w:r>
        <w:rPr>
          <w:rFonts w:ascii="Garamond" w:eastAsia="Garamond" w:hAnsi="Garamond" w:cs="Garamond"/>
          <w:sz w:val="26"/>
          <w:szCs w:val="26"/>
        </w:rPr>
        <w:t>”</w:t>
      </w:r>
    </w:p>
    <w:p w:rsidR="00552582" w:rsidRDefault="00A061C9">
      <w:pPr>
        <w:spacing w:before="240" w:after="240" w:line="276" w:lineRule="auto"/>
        <w:jc w:val="both"/>
        <w:rPr>
          <w:rFonts w:ascii="Garamond" w:eastAsia="Garamond" w:hAnsi="Garamond" w:cs="Garamond"/>
          <w:sz w:val="26"/>
          <w:szCs w:val="26"/>
          <w:highlight w:val="white"/>
        </w:rPr>
      </w:pPr>
      <w:r w:rsidRPr="00A061C9">
        <w:rPr>
          <w:rFonts w:ascii="Garamond" w:eastAsia="Garamond" w:hAnsi="Garamond" w:cs="Garamond"/>
          <w:sz w:val="26"/>
          <w:szCs w:val="26"/>
          <w:highlight w:val="white"/>
        </w:rPr>
        <w:t>Art</w:t>
      </w:r>
      <w:r w:rsidR="0048639D">
        <w:rPr>
          <w:rFonts w:ascii="Garamond" w:eastAsia="Garamond" w:hAnsi="Garamond" w:cs="Garamond"/>
          <w:sz w:val="26"/>
          <w:szCs w:val="26"/>
          <w:highlight w:val="white"/>
        </w:rPr>
        <w:t>igo 4</w:t>
      </w:r>
      <w:r w:rsidR="00BF41E5" w:rsidRPr="00A061C9">
        <w:rPr>
          <w:rFonts w:ascii="Garamond" w:eastAsia="Garamond" w:hAnsi="Garamond" w:cs="Garamond"/>
          <w:sz w:val="26"/>
          <w:szCs w:val="26"/>
          <w:highlight w:val="white"/>
        </w:rPr>
        <w:t>º -</w:t>
      </w:r>
      <w:r w:rsidR="00BF41E5">
        <w:rPr>
          <w:rFonts w:ascii="Garamond" w:eastAsia="Garamond" w:hAnsi="Garamond" w:cs="Garamond"/>
          <w:b/>
          <w:sz w:val="26"/>
          <w:szCs w:val="26"/>
          <w:highlight w:val="white"/>
        </w:rPr>
        <w:t xml:space="preserve"> </w:t>
      </w:r>
      <w:r w:rsidR="00BF41E5">
        <w:rPr>
          <w:rFonts w:ascii="Garamond" w:eastAsia="Garamond" w:hAnsi="Garamond" w:cs="Garamond"/>
          <w:sz w:val="26"/>
          <w:szCs w:val="26"/>
          <w:highlight w:val="white"/>
        </w:rPr>
        <w:t>Esta lei entra em vigor na data de sua publicação.</w:t>
      </w:r>
    </w:p>
    <w:p w:rsidR="00552582" w:rsidRDefault="00552582">
      <w:pPr>
        <w:spacing w:after="160" w:line="360" w:lineRule="auto"/>
        <w:jc w:val="both"/>
        <w:rPr>
          <w:rFonts w:ascii="Garamond" w:eastAsia="Garamond" w:hAnsi="Garamond" w:cs="Garamond"/>
          <w:sz w:val="26"/>
          <w:szCs w:val="26"/>
        </w:rPr>
      </w:pPr>
    </w:p>
    <w:p w:rsidR="00552582" w:rsidRDefault="003D6971">
      <w:pPr>
        <w:spacing w:after="160" w:line="360" w:lineRule="auto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t>Niterói/RJ, 13</w:t>
      </w:r>
      <w:r w:rsidR="00BF41E5">
        <w:rPr>
          <w:rFonts w:ascii="Garamond" w:eastAsia="Garamond" w:hAnsi="Garamond" w:cs="Garamond"/>
          <w:sz w:val="26"/>
          <w:szCs w:val="26"/>
        </w:rPr>
        <w:t xml:space="preserve"> de </w:t>
      </w:r>
      <w:r>
        <w:rPr>
          <w:rFonts w:ascii="Garamond" w:eastAsia="Garamond" w:hAnsi="Garamond" w:cs="Garamond"/>
          <w:sz w:val="26"/>
          <w:szCs w:val="26"/>
        </w:rPr>
        <w:t xml:space="preserve">abril </w:t>
      </w:r>
      <w:r w:rsidR="00A061C9">
        <w:rPr>
          <w:rFonts w:ascii="Garamond" w:eastAsia="Garamond" w:hAnsi="Garamond" w:cs="Garamond"/>
          <w:sz w:val="26"/>
          <w:szCs w:val="26"/>
        </w:rPr>
        <w:t>de 2023</w:t>
      </w:r>
      <w:r w:rsidR="00BF41E5">
        <w:rPr>
          <w:rFonts w:ascii="Garamond" w:eastAsia="Garamond" w:hAnsi="Garamond" w:cs="Garamond"/>
          <w:sz w:val="26"/>
          <w:szCs w:val="26"/>
        </w:rPr>
        <w:t>.</w:t>
      </w:r>
    </w:p>
    <w:p w:rsidR="00552582" w:rsidRDefault="00552582">
      <w:pPr>
        <w:spacing w:after="160" w:line="360" w:lineRule="auto"/>
        <w:jc w:val="both"/>
        <w:rPr>
          <w:rFonts w:ascii="Garamond" w:eastAsia="Garamond" w:hAnsi="Garamond" w:cs="Garamond"/>
          <w:b/>
          <w:sz w:val="26"/>
          <w:szCs w:val="26"/>
        </w:rPr>
      </w:pPr>
    </w:p>
    <w:p w:rsidR="00552582" w:rsidRDefault="00BF41E5">
      <w:pPr>
        <w:spacing w:after="160"/>
        <w:jc w:val="center"/>
        <w:rPr>
          <w:rFonts w:ascii="Garamond" w:eastAsia="Garamond" w:hAnsi="Garamond" w:cs="Garamond"/>
          <w:b/>
          <w:sz w:val="26"/>
          <w:szCs w:val="26"/>
        </w:rPr>
      </w:pPr>
      <w:proofErr w:type="spellStart"/>
      <w:r>
        <w:rPr>
          <w:rFonts w:ascii="Garamond" w:eastAsia="Garamond" w:hAnsi="Garamond" w:cs="Garamond"/>
          <w:b/>
          <w:sz w:val="26"/>
          <w:szCs w:val="26"/>
        </w:rPr>
        <w:t>Andrigo</w:t>
      </w:r>
      <w:proofErr w:type="spellEnd"/>
      <w:r>
        <w:rPr>
          <w:rFonts w:ascii="Garamond" w:eastAsia="Garamond" w:hAnsi="Garamond" w:cs="Garamond"/>
          <w:b/>
          <w:sz w:val="26"/>
          <w:szCs w:val="26"/>
        </w:rPr>
        <w:t xml:space="preserve"> de Carvalho</w:t>
      </w:r>
    </w:p>
    <w:p w:rsidR="00552582" w:rsidRDefault="00BF41E5">
      <w:pPr>
        <w:spacing w:after="160"/>
        <w:jc w:val="center"/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>Vereador – Líder do Governo</w:t>
      </w:r>
    </w:p>
    <w:p w:rsidR="0048639D" w:rsidRDefault="0048639D">
      <w:pPr>
        <w:rPr>
          <w:rFonts w:ascii="Garamond" w:eastAsia="Garamond" w:hAnsi="Garamond" w:cs="Garamond"/>
          <w:sz w:val="26"/>
          <w:szCs w:val="26"/>
        </w:rPr>
      </w:pPr>
      <w:r>
        <w:rPr>
          <w:rFonts w:ascii="Garamond" w:eastAsia="Garamond" w:hAnsi="Garamond" w:cs="Garamond"/>
          <w:sz w:val="26"/>
          <w:szCs w:val="26"/>
        </w:rPr>
        <w:br w:type="page"/>
      </w:r>
    </w:p>
    <w:p w:rsidR="00552582" w:rsidRDefault="00BF41E5" w:rsidP="0048639D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:rsidR="00552582" w:rsidRDefault="00552582">
      <w:pPr>
        <w:spacing w:after="160" w:line="360" w:lineRule="auto"/>
        <w:jc w:val="center"/>
        <w:rPr>
          <w:rFonts w:ascii="Garamond" w:eastAsia="Garamond" w:hAnsi="Garamond" w:cs="Garamond"/>
          <w:b/>
          <w:sz w:val="26"/>
          <w:szCs w:val="26"/>
        </w:rPr>
      </w:pPr>
      <w:bookmarkStart w:id="1" w:name="_GoBack"/>
      <w:bookmarkEnd w:id="1"/>
    </w:p>
    <w:p w:rsidR="003D6971" w:rsidRDefault="00BF41E5" w:rsidP="00A061C9">
      <w:pPr>
        <w:spacing w:after="160" w:line="360" w:lineRule="auto"/>
        <w:jc w:val="both"/>
        <w:rPr>
          <w:rFonts w:ascii="Garamond" w:hAnsi="Garamond"/>
          <w:sz w:val="26"/>
          <w:szCs w:val="26"/>
        </w:rPr>
      </w:pPr>
      <w:r>
        <w:rPr>
          <w:rFonts w:ascii="Garamond" w:eastAsia="Garamond" w:hAnsi="Garamond" w:cs="Garamond"/>
          <w:b/>
          <w:sz w:val="26"/>
          <w:szCs w:val="26"/>
        </w:rPr>
        <w:tab/>
      </w:r>
      <w:r w:rsidR="003D6971" w:rsidRPr="003D6971">
        <w:rPr>
          <w:rFonts w:ascii="Garamond" w:hAnsi="Garamond"/>
          <w:sz w:val="26"/>
          <w:szCs w:val="26"/>
        </w:rPr>
        <w:t>A alimentação durante a fase da infância e da adolescência tem papel fundamental na determinação das condições de saúde e na prevenção de doenças na vida adulta. Trata</w:t>
      </w:r>
      <w:r w:rsidR="003D6971" w:rsidRPr="003D6971">
        <w:rPr>
          <w:rFonts w:ascii="Garamond" w:hAnsi="Garamond"/>
          <w:sz w:val="26"/>
          <w:szCs w:val="26"/>
        </w:rPr>
        <w:t xml:space="preserve">se de um direito garantido pela Constituição Federal para qualquer faixa etária, e reforçado para o público </w:t>
      </w:r>
      <w:proofErr w:type="spellStart"/>
      <w:r w:rsidR="003D6971" w:rsidRPr="003D6971">
        <w:rPr>
          <w:rFonts w:ascii="Garamond" w:hAnsi="Garamond"/>
          <w:sz w:val="26"/>
          <w:szCs w:val="26"/>
        </w:rPr>
        <w:t>infantojuvenil</w:t>
      </w:r>
      <w:proofErr w:type="spellEnd"/>
      <w:r w:rsidR="003D6971" w:rsidRPr="003D6971">
        <w:rPr>
          <w:rFonts w:ascii="Garamond" w:hAnsi="Garamond"/>
          <w:sz w:val="26"/>
          <w:szCs w:val="26"/>
        </w:rPr>
        <w:t xml:space="preserve">. Tanto </w:t>
      </w:r>
      <w:proofErr w:type="gramStart"/>
      <w:r w:rsidR="003D6971" w:rsidRPr="003D6971">
        <w:rPr>
          <w:rFonts w:ascii="Garamond" w:hAnsi="Garamond"/>
          <w:sz w:val="26"/>
          <w:szCs w:val="26"/>
        </w:rPr>
        <w:t>o direito à saúde quanto à alimentação estão</w:t>
      </w:r>
      <w:proofErr w:type="gramEnd"/>
      <w:r w:rsidR="003D6971" w:rsidRPr="003D6971">
        <w:rPr>
          <w:rFonts w:ascii="Garamond" w:hAnsi="Garamond"/>
          <w:sz w:val="26"/>
          <w:szCs w:val="26"/>
        </w:rPr>
        <w:t xml:space="preserve"> previstos no artigo 6º da Carta Magna; a atribuição ao Estado da garantia da saúde e prevenção de doenças consta no seu artigo 196; bem como no artigo 227 está determinada a absoluta prioridade aos direitos da criança e dos adolescentes.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Por sua vez, o Estatuto da Criança e do Adolescente (Lei nº 8.069/1990) institui em seu artigo 4º que é dever da família, comunidade e sociedade em geral assegurar com absoluta prioridade à efetivação da saúde e alimentação, além de outros direitos sociais. Destaca-se, igualmente, o artigo 3º da Lei Orgânica de Segurança Alimentar e Nutricional, Lei nº 11.346/2006, que prescreve que a “segurança alimentar e nutricional consiste na realização do direito ao acesso regular e permanente a alimentos de qualidade, em quantidade suficiente, sem comprometer o acesso a outras necessidades essenciais, tendo como base práticas alimentares promotoras de saúde que respeitem a diversidade cultural e que </w:t>
      </w:r>
      <w:proofErr w:type="gramStart"/>
      <w:r w:rsidRPr="003D6971">
        <w:rPr>
          <w:rFonts w:ascii="Garamond" w:hAnsi="Garamond"/>
          <w:sz w:val="26"/>
          <w:szCs w:val="26"/>
        </w:rPr>
        <w:t>sejam</w:t>
      </w:r>
      <w:proofErr w:type="gramEnd"/>
      <w:r w:rsidRPr="003D6971">
        <w:rPr>
          <w:rFonts w:ascii="Garamond" w:hAnsi="Garamond"/>
          <w:sz w:val="26"/>
          <w:szCs w:val="26"/>
        </w:rPr>
        <w:t xml:space="preserve"> ambiental, cultural, econômica e socialmente sustentáveis”.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Nota-se que o ordenamento jurídico brasileiro enfoca a alimentação adequada e saudável como direito </w:t>
      </w:r>
      <w:proofErr w:type="gramStart"/>
      <w:r w:rsidRPr="003D6971">
        <w:rPr>
          <w:rFonts w:ascii="Garamond" w:hAnsi="Garamond"/>
          <w:sz w:val="26"/>
          <w:szCs w:val="26"/>
        </w:rPr>
        <w:t>fundamental, reforçado</w:t>
      </w:r>
      <w:proofErr w:type="gramEnd"/>
      <w:r w:rsidRPr="003D6971">
        <w:rPr>
          <w:rFonts w:ascii="Garamond" w:hAnsi="Garamond"/>
          <w:sz w:val="26"/>
          <w:szCs w:val="26"/>
        </w:rPr>
        <w:t xml:space="preserve"> para as crianças e adolescentes. Acerca da sua efetivação, é notório o avanço científico sobre o processamento de alimentos nos últimos anos, com a indicação da restrição do </w:t>
      </w:r>
      <w:r w:rsidRPr="003D6971">
        <w:rPr>
          <w:rFonts w:ascii="Garamond" w:hAnsi="Garamond"/>
          <w:sz w:val="26"/>
          <w:szCs w:val="26"/>
        </w:rPr>
        <w:lastRenderedPageBreak/>
        <w:t xml:space="preserve">consumo dos </w:t>
      </w:r>
      <w:proofErr w:type="spellStart"/>
      <w:r w:rsidRPr="003D6971">
        <w:rPr>
          <w:rFonts w:ascii="Garamond" w:hAnsi="Garamond"/>
          <w:sz w:val="26"/>
          <w:szCs w:val="26"/>
        </w:rPr>
        <w:t>ultraprocessados</w:t>
      </w:r>
      <w:proofErr w:type="spellEnd"/>
      <w:r w:rsidRPr="003D6971">
        <w:rPr>
          <w:rFonts w:ascii="Garamond" w:hAnsi="Garamond"/>
          <w:sz w:val="26"/>
          <w:szCs w:val="26"/>
        </w:rPr>
        <w:t xml:space="preserve">, comprovadamente maléficos à saúde. Essa definição foi base para elaboração do Guia Alimentar para a População Brasileira e do Guia Alimentar para Crianças Menores de </w:t>
      </w:r>
      <w:proofErr w:type="gramStart"/>
      <w:r w:rsidRPr="003D6971">
        <w:rPr>
          <w:rFonts w:ascii="Garamond" w:hAnsi="Garamond"/>
          <w:sz w:val="26"/>
          <w:szCs w:val="26"/>
        </w:rPr>
        <w:t>2</w:t>
      </w:r>
      <w:proofErr w:type="gramEnd"/>
      <w:r w:rsidRPr="003D6971">
        <w:rPr>
          <w:rFonts w:ascii="Garamond" w:hAnsi="Garamond"/>
          <w:sz w:val="26"/>
          <w:szCs w:val="26"/>
        </w:rPr>
        <w:t xml:space="preserve"> anos, publicados em 2014 e 2019 pelo Ministério da Saúde, que constituem as principais referências do país para subsidiar políticas públicas sobre o tema. </w:t>
      </w:r>
      <w:proofErr w:type="gramStart"/>
      <w:r w:rsidRPr="003D6971">
        <w:rPr>
          <w:rFonts w:ascii="Garamond" w:hAnsi="Garamond"/>
          <w:sz w:val="26"/>
          <w:szCs w:val="26"/>
        </w:rPr>
        <w:t>Isto posto</w:t>
      </w:r>
      <w:proofErr w:type="gramEnd"/>
      <w:r w:rsidRPr="003D6971">
        <w:rPr>
          <w:rFonts w:ascii="Garamond" w:hAnsi="Garamond"/>
          <w:sz w:val="26"/>
          <w:szCs w:val="26"/>
        </w:rPr>
        <w:t>, destaca-se</w:t>
      </w:r>
      <w:r w:rsidRPr="003D6971">
        <w:rPr>
          <w:rFonts w:ascii="Garamond" w:hAnsi="Garamond"/>
          <w:sz w:val="26"/>
          <w:szCs w:val="26"/>
        </w:rPr>
        <w:t xml:space="preserve"> </w:t>
      </w:r>
      <w:r w:rsidRPr="003D6971">
        <w:rPr>
          <w:rFonts w:ascii="Garamond" w:hAnsi="Garamond"/>
          <w:sz w:val="26"/>
          <w:szCs w:val="26"/>
        </w:rPr>
        <w:t xml:space="preserve">a relevância e necessidade da Lei Municipal nº 2.659/2009, que regula a alimentação escolar em Niterói, em consonância com a premência de sua atualização.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A aprovação do Projeto de Lei nº 95/2022, que altera a lei 2.659/2009, discutido e aprovado pela Câmara Municipal, configurou, portanto, um importante passo na promoção da saúde da população e garantia dos direitos constitucionais, ao ampliar a proteção ao que as crianças consomem no ambiente escolar. Após a discussão e sanção da proposta, tornou-se Lei nº 3.766/2023. No entanto, apesar da absoluta relevância da proposição, como fruto da discussão legislativa foi incorporada uma mudança à norma que ocasionou um artigo que se encontra incoerente com o restante do texto aprovado. Devido a isso, faz-se </w:t>
      </w:r>
      <w:proofErr w:type="gramStart"/>
      <w:r w:rsidRPr="003D6971">
        <w:rPr>
          <w:rFonts w:ascii="Garamond" w:hAnsi="Garamond"/>
          <w:sz w:val="26"/>
          <w:szCs w:val="26"/>
        </w:rPr>
        <w:t>mister</w:t>
      </w:r>
      <w:proofErr w:type="gramEnd"/>
      <w:r w:rsidRPr="003D6971">
        <w:rPr>
          <w:rFonts w:ascii="Garamond" w:hAnsi="Garamond"/>
          <w:sz w:val="26"/>
          <w:szCs w:val="26"/>
        </w:rPr>
        <w:t xml:space="preserve"> um ajuste na lei, de modo que todos os artigos garantam a intenção da norma em regular a alimentação no ambiente escolar.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Ocorre que o artigo 4º da Lei nº 3.766/2023 indica a altura acima de um metro para os alimentos </w:t>
      </w:r>
      <w:proofErr w:type="spellStart"/>
      <w:r w:rsidRPr="003D6971">
        <w:rPr>
          <w:rFonts w:ascii="Garamond" w:hAnsi="Garamond"/>
          <w:sz w:val="26"/>
          <w:szCs w:val="26"/>
        </w:rPr>
        <w:t>ultraprocessados</w:t>
      </w:r>
      <w:proofErr w:type="spellEnd"/>
      <w:r w:rsidRPr="003D6971">
        <w:rPr>
          <w:rFonts w:ascii="Garamond" w:hAnsi="Garamond"/>
          <w:sz w:val="26"/>
          <w:szCs w:val="26"/>
        </w:rPr>
        <w:t xml:space="preserve"> nos estabelecimentos comerciais “dentro de instituições de ensino escolar” (artigo 4º da Lei nº 3.766/2023). Tal redação se encontra incoerente com o restante da lei aprovada, visto que não faz sentido regular a altura de alimentos no comércio das escolas que estão proibidos de serem vendidos ou distribuídos. Diante disso, é necessário suprimir este artigo, bastando o </w:t>
      </w:r>
      <w:r w:rsidRPr="003D6971">
        <w:rPr>
          <w:rFonts w:ascii="Garamond" w:hAnsi="Garamond"/>
          <w:sz w:val="26"/>
          <w:szCs w:val="26"/>
        </w:rPr>
        <w:lastRenderedPageBreak/>
        <w:t xml:space="preserve">conteúdo dos demais dispositivos que restringem a circulação comercial desses produtos na rede de educação.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Por sua vez, o artigo 5º determina que “Os estabelecimentos que comercializem produtos alimentícios </w:t>
      </w:r>
      <w:proofErr w:type="spellStart"/>
      <w:r w:rsidRPr="003D6971">
        <w:rPr>
          <w:rFonts w:ascii="Garamond" w:hAnsi="Garamond"/>
          <w:sz w:val="26"/>
          <w:szCs w:val="26"/>
        </w:rPr>
        <w:t>ultraprocessados</w:t>
      </w:r>
      <w:proofErr w:type="spellEnd"/>
      <w:r w:rsidRPr="003D6971">
        <w:rPr>
          <w:rFonts w:ascii="Garamond" w:hAnsi="Garamond"/>
          <w:sz w:val="26"/>
          <w:szCs w:val="26"/>
        </w:rPr>
        <w:t xml:space="preserve"> afixarão em suas dependências, em local de fácil visibilidade, cartazes informativos na forma do Anexo I desta Lei”. Ao retirar a regulação dos estabelecimentos comerciais da cidade da lei, limitando-a ao ambiente escolar, o texto deste artigo também se tornou incoerente. Desse modo, indica-se, igualmente, sua supressão. </w:t>
      </w:r>
    </w:p>
    <w:p w:rsidR="003D6971" w:rsidRDefault="003D6971" w:rsidP="003D6971">
      <w:pPr>
        <w:spacing w:after="160" w:line="360" w:lineRule="auto"/>
        <w:ind w:firstLine="720"/>
        <w:jc w:val="both"/>
        <w:rPr>
          <w:rFonts w:ascii="Garamond" w:hAnsi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 xml:space="preserve">Quanto à atualização das penalidades diante do descumprimento da lei, consta uma alteração na presente iniciativa devido à necessidade de sua conformidade com a estrutura de fiscalização sanitária do município. </w:t>
      </w:r>
    </w:p>
    <w:p w:rsidR="00552582" w:rsidRPr="003D6971" w:rsidRDefault="003D6971" w:rsidP="003D6971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  <w:r w:rsidRPr="003D6971">
        <w:rPr>
          <w:rFonts w:ascii="Garamond" w:hAnsi="Garamond"/>
          <w:sz w:val="26"/>
          <w:szCs w:val="26"/>
        </w:rPr>
        <w:t>Os ajustes propostos neste Projeto de Lei visam reparos necessários para a devida atualização da Lei nº 2.659/2009. Diante do dever estatal da garantia da saúde e</w:t>
      </w:r>
      <w:r w:rsidRPr="003D6971">
        <w:rPr>
          <w:rFonts w:ascii="Garamond" w:hAnsi="Garamond"/>
          <w:sz w:val="26"/>
          <w:szCs w:val="26"/>
        </w:rPr>
        <w:t xml:space="preserve"> </w:t>
      </w:r>
      <w:r w:rsidRPr="003D6971">
        <w:rPr>
          <w:rFonts w:ascii="Garamond" w:hAnsi="Garamond"/>
          <w:sz w:val="26"/>
          <w:szCs w:val="26"/>
        </w:rPr>
        <w:t>alimentação, essa adequação da legislação vigente é fundamental, tendo em vista sua conformidade com as normativas federais sobre a temática da alimentação e nutrição. Niterói mais uma vez avança em temas fundamentais para a promoção dos direitos constitucionais, cuja atualização da regulação da alimentação nas escolas apresenta enorme impacto sobre a saúde e qualidade de vida das crianças e adolescentes da cidade.</w:t>
      </w:r>
    </w:p>
    <w:p w:rsidR="00552582" w:rsidRPr="003D6971" w:rsidRDefault="00552582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</w:p>
    <w:p w:rsidR="00552582" w:rsidRPr="003D6971" w:rsidRDefault="00552582">
      <w:pPr>
        <w:spacing w:after="160" w:line="360" w:lineRule="auto"/>
        <w:ind w:firstLine="720"/>
        <w:jc w:val="both"/>
        <w:rPr>
          <w:rFonts w:ascii="Garamond" w:eastAsia="Garamond" w:hAnsi="Garamond" w:cs="Garamond"/>
          <w:sz w:val="26"/>
          <w:szCs w:val="26"/>
        </w:rPr>
      </w:pPr>
    </w:p>
    <w:p w:rsidR="00552582" w:rsidRDefault="00552582">
      <w:pPr>
        <w:spacing w:after="160"/>
        <w:jc w:val="center"/>
        <w:rPr>
          <w:rFonts w:ascii="Garamond" w:eastAsia="Garamond" w:hAnsi="Garamond" w:cs="Garamond"/>
          <w:sz w:val="26"/>
          <w:szCs w:val="26"/>
        </w:rPr>
      </w:pPr>
    </w:p>
    <w:sectPr w:rsidR="00552582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466" w:rsidRDefault="009B4466">
      <w:r>
        <w:separator/>
      </w:r>
    </w:p>
  </w:endnote>
  <w:endnote w:type="continuationSeparator" w:id="0">
    <w:p w:rsidR="009B4466" w:rsidRDefault="009B4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82" w:rsidRDefault="00BF41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3D6971">
      <w:rPr>
        <w:noProof/>
        <w:color w:val="000000"/>
      </w:rPr>
      <w:t>1</w:t>
    </w:r>
    <w:r>
      <w:rPr>
        <w:color w:val="000000"/>
      </w:rPr>
      <w:fldChar w:fldCharType="end"/>
    </w:r>
  </w:p>
  <w:p w:rsidR="00552582" w:rsidRDefault="0055258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Garamond" w:eastAsia="Garamond" w:hAnsi="Garamond" w:cs="Garamond"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466" w:rsidRDefault="009B4466">
      <w:r>
        <w:separator/>
      </w:r>
    </w:p>
  </w:footnote>
  <w:footnote w:type="continuationSeparator" w:id="0">
    <w:p w:rsidR="009B4466" w:rsidRDefault="009B4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582" w:rsidRDefault="00BF41E5">
    <w:pPr>
      <w:spacing w:line="360" w:lineRule="auto"/>
      <w:jc w:val="center"/>
    </w:pPr>
    <w:r>
      <w:rPr>
        <w:noProof/>
      </w:rPr>
      <w:drawing>
        <wp:inline distT="0" distB="0" distL="0" distR="0">
          <wp:extent cx="934073" cy="943604"/>
          <wp:effectExtent l="0" t="0" r="0" b="0"/>
          <wp:docPr id="12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34073" cy="94360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552582" w:rsidRDefault="00BF41E5">
    <w:pPr>
      <w:spacing w:line="360" w:lineRule="auto"/>
      <w:jc w:val="center"/>
      <w:rPr>
        <w:rFonts w:ascii="Arial" w:eastAsia="Arial" w:hAnsi="Arial" w:cs="Arial"/>
        <w:b/>
        <w:sz w:val="26"/>
        <w:szCs w:val="26"/>
      </w:rPr>
    </w:pPr>
    <w:r>
      <w:rPr>
        <w:rFonts w:ascii="Arial" w:eastAsia="Arial" w:hAnsi="Arial" w:cs="Arial"/>
        <w:b/>
        <w:sz w:val="26"/>
        <w:szCs w:val="26"/>
      </w:rPr>
      <w:t>Câmara Municipal de Niterói</w:t>
    </w:r>
  </w:p>
  <w:p w:rsidR="00552582" w:rsidRDefault="00BF41E5">
    <w:pPr>
      <w:spacing w:line="360" w:lineRule="auto"/>
      <w:ind w:left="-284" w:right="-285"/>
      <w:jc w:val="center"/>
      <w:rPr>
        <w:rFonts w:ascii="Arial" w:eastAsia="Arial" w:hAnsi="Arial" w:cs="Arial"/>
        <w:b/>
        <w:sz w:val="32"/>
        <w:szCs w:val="32"/>
      </w:rPr>
    </w:pPr>
    <w:r>
      <w:rPr>
        <w:rFonts w:ascii="Arial" w:eastAsia="Arial" w:hAnsi="Arial" w:cs="Arial"/>
        <w:b/>
        <w:sz w:val="32"/>
        <w:szCs w:val="32"/>
      </w:rPr>
      <w:t>GABINETE DO VEREADOR ANDRIGO DE CARVALHO - PDT</w:t>
    </w:r>
  </w:p>
  <w:p w:rsidR="00552582" w:rsidRDefault="00552582">
    <w:pPr>
      <w:spacing w:line="360" w:lineRule="auto"/>
      <w:ind w:left="-284" w:right="-285"/>
      <w:jc w:val="center"/>
      <w:rPr>
        <w:rFonts w:ascii="Arial" w:eastAsia="Arial" w:hAnsi="Arial" w:cs="Arial"/>
        <w:b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52582"/>
    <w:rsid w:val="003D6971"/>
    <w:rsid w:val="0048639D"/>
    <w:rsid w:val="00552582"/>
    <w:rsid w:val="009B4466"/>
    <w:rsid w:val="00A061C9"/>
    <w:rsid w:val="00BF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B06"/>
  </w:style>
  <w:style w:type="paragraph" w:styleId="Ttulo1">
    <w:name w:val="heading 1"/>
    <w:basedOn w:val="Normal"/>
    <w:next w:val="Normal"/>
    <w:link w:val="Ttulo1Char"/>
    <w:qFormat/>
    <w:locked/>
    <w:rsid w:val="0038011E"/>
    <w:pPr>
      <w:keepNext/>
      <w:ind w:left="640"/>
      <w:outlineLvl w:val="0"/>
    </w:pPr>
    <w:rPr>
      <w:b/>
      <w:i/>
      <w:sz w:val="32"/>
      <w:szCs w:val="20"/>
    </w:rPr>
  </w:style>
  <w:style w:type="paragraph" w:styleId="Ttulo2">
    <w:name w:val="heading 2"/>
    <w:basedOn w:val="Normal"/>
    <w:next w:val="Normal"/>
    <w:link w:val="Ttulo2Char"/>
    <w:qFormat/>
    <w:locked/>
    <w:rsid w:val="0038011E"/>
    <w:pPr>
      <w:keepNext/>
      <w:jc w:val="center"/>
      <w:outlineLvl w:val="1"/>
    </w:pPr>
    <w:rPr>
      <w:rFonts w:eastAsia="Arial Unicode MS"/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locked/>
    <w:rsid w:val="0038011E"/>
    <w:pPr>
      <w:keepNext/>
      <w:jc w:val="center"/>
      <w:outlineLvl w:val="2"/>
    </w:pPr>
    <w:rPr>
      <w:rFonts w:ascii="Arial" w:eastAsia="Arial Unicode MS" w:hAnsi="Arial" w:cs="Arial"/>
      <w:b/>
      <w:bCs/>
      <w:sz w:val="20"/>
    </w:rPr>
  </w:style>
  <w:style w:type="paragraph" w:styleId="Ttulo4">
    <w:name w:val="heading 4"/>
    <w:basedOn w:val="Normal"/>
    <w:next w:val="Normal"/>
    <w:link w:val="Ttulo4Char"/>
    <w:qFormat/>
    <w:locked/>
    <w:rsid w:val="0038011E"/>
    <w:pPr>
      <w:keepNext/>
      <w:jc w:val="right"/>
      <w:outlineLvl w:val="3"/>
    </w:pPr>
    <w:rPr>
      <w:rFonts w:ascii="Arial" w:hAnsi="Arial" w:cs="Arial"/>
      <w:b/>
      <w:iCs/>
      <w:szCs w:val="20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qFormat/>
    <w:locked/>
    <w:rsid w:val="0038011E"/>
    <w:pPr>
      <w:keepNext/>
      <w:outlineLvl w:val="5"/>
    </w:pPr>
    <w:rPr>
      <w:rFonts w:eastAsia="Arial Unicode MS"/>
      <w:b/>
      <w:bCs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locked/>
    <w:rsid w:val="0038011E"/>
    <w:pPr>
      <w:jc w:val="center"/>
    </w:pPr>
    <w:rPr>
      <w:b/>
      <w:i/>
      <w:sz w:val="32"/>
      <w:szCs w:val="20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202E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0D19DF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4026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sid w:val="00B40269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rsid w:val="00B4026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40269"/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38011E"/>
    <w:rPr>
      <w:b/>
      <w:i/>
      <w:sz w:val="32"/>
      <w:szCs w:val="20"/>
    </w:rPr>
  </w:style>
  <w:style w:type="character" w:customStyle="1" w:styleId="Ttulo2Char">
    <w:name w:val="Título 2 Char"/>
    <w:basedOn w:val="Fontepargpadro"/>
    <w:link w:val="Ttulo2"/>
    <w:rsid w:val="0038011E"/>
    <w:rPr>
      <w:rFonts w:eastAsia="Arial Unicode MS"/>
      <w:b/>
      <w:bCs/>
      <w:sz w:val="28"/>
      <w:szCs w:val="24"/>
    </w:rPr>
  </w:style>
  <w:style w:type="character" w:customStyle="1" w:styleId="Ttulo3Char">
    <w:name w:val="Título 3 Char"/>
    <w:basedOn w:val="Fontepargpadro"/>
    <w:link w:val="Ttulo3"/>
    <w:rsid w:val="0038011E"/>
    <w:rPr>
      <w:rFonts w:ascii="Arial" w:eastAsia="Arial Unicode MS" w:hAnsi="Arial" w:cs="Arial"/>
      <w:b/>
      <w:bCs/>
      <w:sz w:val="20"/>
      <w:szCs w:val="24"/>
    </w:rPr>
  </w:style>
  <w:style w:type="character" w:customStyle="1" w:styleId="Ttulo4Char">
    <w:name w:val="Título 4 Char"/>
    <w:basedOn w:val="Fontepargpadro"/>
    <w:link w:val="Ttulo4"/>
    <w:rsid w:val="0038011E"/>
    <w:rPr>
      <w:rFonts w:ascii="Arial" w:hAnsi="Arial" w:cs="Arial"/>
      <w:b/>
      <w:iCs/>
      <w:sz w:val="24"/>
      <w:szCs w:val="20"/>
    </w:rPr>
  </w:style>
  <w:style w:type="character" w:customStyle="1" w:styleId="Ttulo6Char">
    <w:name w:val="Título 6 Char"/>
    <w:basedOn w:val="Fontepargpadro"/>
    <w:link w:val="Ttulo6"/>
    <w:rsid w:val="0038011E"/>
    <w:rPr>
      <w:rFonts w:eastAsia="Arial Unicode MS"/>
      <w:b/>
      <w:bCs/>
      <w:sz w:val="30"/>
      <w:szCs w:val="24"/>
    </w:rPr>
  </w:style>
  <w:style w:type="paragraph" w:styleId="Corpodetexto">
    <w:name w:val="Body Text"/>
    <w:basedOn w:val="Normal"/>
    <w:link w:val="CorpodetextoChar"/>
    <w:semiHidden/>
    <w:rsid w:val="0038011E"/>
    <w:pPr>
      <w:jc w:val="both"/>
    </w:pPr>
    <w:rPr>
      <w:rFonts w:ascii="Courier New" w:hAnsi="Courier New" w:cs="Courier New"/>
      <w:bCs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8011E"/>
    <w:rPr>
      <w:rFonts w:ascii="Courier New" w:hAnsi="Courier New" w:cs="Courier New"/>
      <w:bCs/>
      <w:iCs/>
      <w:sz w:val="28"/>
      <w:szCs w:val="20"/>
    </w:rPr>
  </w:style>
  <w:style w:type="paragraph" w:styleId="Recuodecorpodetexto">
    <w:name w:val="Body Text Indent"/>
    <w:basedOn w:val="Normal"/>
    <w:link w:val="RecuodecorpodetextoChar"/>
    <w:semiHidden/>
    <w:rsid w:val="0038011E"/>
    <w:pPr>
      <w:spacing w:line="360" w:lineRule="auto"/>
      <w:ind w:firstLine="708"/>
      <w:jc w:val="both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8011E"/>
    <w:rPr>
      <w:sz w:val="28"/>
      <w:szCs w:val="24"/>
    </w:rPr>
  </w:style>
  <w:style w:type="character" w:customStyle="1" w:styleId="TtuloChar">
    <w:name w:val="Título Char"/>
    <w:basedOn w:val="Fontepargpadro"/>
    <w:link w:val="Ttulo"/>
    <w:rsid w:val="0038011E"/>
    <w:rPr>
      <w:b/>
      <w:i/>
      <w:sz w:val="32"/>
      <w:szCs w:val="20"/>
    </w:rPr>
  </w:style>
  <w:style w:type="paragraph" w:styleId="PargrafodaLista">
    <w:name w:val="List Paragraph"/>
    <w:basedOn w:val="Normal"/>
    <w:uiPriority w:val="34"/>
    <w:qFormat/>
    <w:rsid w:val="00D40BA4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A732E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A732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A732E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7449B1"/>
    <w:rPr>
      <w:color w:val="0000FF" w:themeColor="hyperlink"/>
      <w:u w:val="single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7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UCFFF6ykNeoCVm0jlIjk3rj8aw==">AMUW2mXyqxC3sPXmm3S601kVO/abxlQh2g0lgHzuGPOYoHWqVjrntR1jcQ2/gztut9/v4mmDo5HxGz+RHaNEJ1Wl+j8MTslfbxSYFFIfcvlYNPXcWS4RqgFpLnVIFa4izQVXL3gXklJL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859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andrigo</dc:creator>
  <cp:lastModifiedBy>Caio Malta</cp:lastModifiedBy>
  <cp:revision>3</cp:revision>
  <dcterms:created xsi:type="dcterms:W3CDTF">2021-08-03T20:10:00Z</dcterms:created>
  <dcterms:modified xsi:type="dcterms:W3CDTF">2023-04-13T17:35:00Z</dcterms:modified>
</cp:coreProperties>
</file>