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“Apoio a vítimas de violações de Direitos Humanos”</w:t>
      </w:r>
      <w:r w:rsidDel="00000000" w:rsidR="00000000" w:rsidRPr="00000000">
        <w:rPr>
          <w:sz w:val="24"/>
          <w:szCs w:val="24"/>
          <w:rtl w:val="0"/>
        </w:rPr>
        <w:t xml:space="preserve">, na Lei Orçamentária Anual - LOA, para o Exercício Financeiro de 2023 do Município de Niterói.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“Apoio a vítimas de violações de Direitos Humanos”</w:t>
      </w:r>
      <w:r w:rsidDel="00000000" w:rsidR="00000000" w:rsidRPr="00000000">
        <w:rPr>
          <w:sz w:val="24"/>
          <w:szCs w:val="24"/>
          <w:rtl w:val="0"/>
        </w:rPr>
        <w:t xml:space="preserve">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DIREITOS HUMANOS</w:t>
      </w:r>
      <w:r w:rsidDel="00000000" w:rsidR="00000000" w:rsidRPr="00000000">
        <w:rPr>
          <w:sz w:val="24"/>
          <w:szCs w:val="24"/>
          <w:rtl w:val="0"/>
        </w:rPr>
        <w:t xml:space="preserve">, no PROGRAMA 0140 - JUSTIÇA, CIDADANIA E ACESSIBILIDADE, no Anexo II do Livro de Orçamento de 2023, que passa a vigorar da seguinte forma: </w:t>
      </w:r>
    </w:p>
    <w:p w:rsidR="00000000" w:rsidDel="00000000" w:rsidP="00000000" w:rsidRDefault="00000000" w:rsidRPr="00000000" w14:paraId="0000000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Apoio a vítimas de violações de Direitos Humanos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2.0" w:type="dxa"/>
        <w:jc w:val="left"/>
        <w:tblInd w:w="-15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197"/>
        <w:gridCol w:w="1450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197"/>
            <w:gridCol w:w="1450"/>
            <w:gridCol w:w="199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DIREITOS HUMANOS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SEC MUN DE DIREITOS HUMANOS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ASSISTÊNCIA ÀS VÍTIMAS DE VIOLÊNCIA DO ESTADO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Programa realizada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soma total realocada é de R$15.000.000,00 (quinze milhões de reais).</w:t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0131 | NITERÓI MAIS SEGURA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 MUNICIPAL DE ORDEM PÚBLICA</w:t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370.0" w:type="dxa"/>
        <w:jc w:val="left"/>
        <w:tblInd w:w="30.0" w:type="dxa"/>
        <w:tblLayout w:type="fixed"/>
        <w:tblLook w:val="0000"/>
      </w:tblPr>
      <w:tblGrid>
        <w:gridCol w:w="2775"/>
        <w:gridCol w:w="1080"/>
        <w:gridCol w:w="1080"/>
        <w:gridCol w:w="795"/>
        <w:gridCol w:w="2085"/>
        <w:gridCol w:w="3075"/>
        <w:gridCol w:w="1695"/>
        <w:gridCol w:w="1785"/>
        <w:tblGridChange w:id="0">
          <w:tblGrid>
            <w:gridCol w:w="2775"/>
            <w:gridCol w:w="1080"/>
            <w:gridCol w:w="1080"/>
            <w:gridCol w:w="795"/>
            <w:gridCol w:w="2085"/>
            <w:gridCol w:w="3075"/>
            <w:gridCol w:w="1695"/>
            <w:gridCol w:w="1785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SEGURANCA PUBLICA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SEC MUNICIPAL DE ORDEM PÚBLICA  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POLICIAMENTO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Manutenção do Programa Niterói Mais Segura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 JUSTIFICATIVA</w:t>
      </w:r>
    </w:p>
    <w:p w:rsidR="00000000" w:rsidDel="00000000" w:rsidP="00000000" w:rsidRDefault="00000000" w:rsidRPr="00000000" w14:paraId="00000083">
      <w:pPr>
        <w:spacing w:after="240" w:before="240" w:lineRule="auto"/>
        <w:jc w:val="both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O direito à vida é um direito humano inerente a todos os seres humanos. No entanto, em muitos países a questão dos delitos, infrações e transgressões a lei, são punidos com a perda da vida. Apesar dos indicadores de desenvolvimento humano de Niterói serem historicamente superiores a média do estado, principalmente das cidades vizinhas, reforçamos que nosso município não é uma bolha. Aqui também está presente o racismo, a criminalização da pobreza e a violência de agentes vinculados a instituições que deveriam ser garantidoras da lei e da ordem. Foi em Niterói que dois adolescentes foram assassinados nos primeiros dias de janeiro de 2021. Também foi em nosso município que uma criança de 5 anos foi assassinada por um agente da polícia militar. Além dos recorrentes casos de agressões e truculência no trato da guarda civil municipal com trabalhadores ambulantes e pessoas em situação de rua. Dessa forma, o objetivo é dotar a administração pública municipal de um equipamento adequado para o pronto atendimento das situações envolvendo vítimas de violações de Direitos Humanos.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30 de Novembro de 2022.  </w:t>
      </w:r>
    </w:p>
    <w:p w:rsidR="00000000" w:rsidDel="00000000" w:rsidP="00000000" w:rsidRDefault="00000000" w:rsidRPr="00000000" w14:paraId="0000008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40" w:lineRule="auto"/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F">
    <w:pPr>
      <w:spacing w:after="160" w:line="259" w:lineRule="auto"/>
      <w:jc w:val="center"/>
      <w:rPr>
        <w:rFonts w:ascii="Calibri" w:cs="Calibri" w:eastAsia="Calibri" w:hAnsi="Calibri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0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1">
    <w:pPr>
      <w:spacing w:after="160" w:line="259" w:lineRule="auto"/>
      <w:jc w:val="center"/>
      <w:rPr/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