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realização das batalhas de Rap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realização das rodas de rima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Realização das batalhas de Rap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realização das batalhas de rima ou rodas culturais em Niterói. recentemente a Câmara dos Vereadores aprovou o projeto de lei 57/2022 que declara as batalhas como patrimônio cultural imaterial da cidade. A</w:t>
      </w:r>
      <w:r w:rsidDel="00000000" w:rsidR="00000000" w:rsidRPr="00000000">
        <w:rPr>
          <w:sz w:val="24"/>
          <w:szCs w:val="24"/>
          <w:shd w:fill="f5f5f5" w:val="clear"/>
          <w:rtl w:val="0"/>
        </w:rPr>
        <w:t xml:space="preserve">s rodas ou batalhas de rima são em sua maioria organizadas em espaços públicos com um tímido investimento dos próprios frequentadores, são abertas ao público, sem restrição de acesso e acontecem com frequência geralmente semanal. Há hoje em Niterói muitos desses espaços atraindo pessoas, em sua maioria jovens, fomentando arte, cultura, pluralidade e criatividade. Algumas das rodas são a Batalha do Engenho, Batalha do Trevo, Batalha da Cantareira, Batalha do Favela e Arte, Batalha do Largo, Batalha de Santa Bárbara, Batalha da Marina, Batalha do Barreto e Batalha do Horto.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20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