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248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Adiciona a ação </w:t>
      </w:r>
      <w:r w:rsidDel="00000000" w:rsidR="00000000" w:rsidRPr="00000000">
        <w:rPr>
          <w:b w:val="1"/>
          <w:highlight w:val="white"/>
          <w:rtl w:val="0"/>
        </w:rPr>
        <w:t xml:space="preserve">realizar eventos e atividades culturais no Centro Cultural Paschoal Carlos Magno</w:t>
      </w:r>
      <w:r w:rsidDel="00000000" w:rsidR="00000000" w:rsidRPr="00000000">
        <w:rPr>
          <w:b w:val="1"/>
          <w:highlight w:val="white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no Programa 0136 – Cultura e Lazer, da Secretaria das Culturas, unidade orçamentária 41.01.</w:t>
      </w:r>
    </w:p>
    <w:p w:rsidR="00000000" w:rsidDel="00000000" w:rsidP="00000000" w:rsidRDefault="00000000" w:rsidRPr="00000000" w14:paraId="00000004">
      <w:pPr>
        <w:spacing w:line="276" w:lineRule="auto"/>
        <w:ind w:left="424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realizar eventos e atividades culturais no Centro Cultural Paschoal Carlos Magno </w:t>
      </w:r>
      <w:r w:rsidDel="00000000" w:rsidR="00000000" w:rsidRPr="00000000">
        <w:rPr>
          <w:sz w:val="24"/>
          <w:szCs w:val="24"/>
          <w:rtl w:val="0"/>
        </w:rPr>
        <w:t xml:space="preserve">no Programa 0136 – Cultura e Lazer, da Secretaria das Culturas, unidade orçamentária 41.01.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e Lazer 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36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Realizar eventos no Centro Cultural Paschoal Carlos Magno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200.000,00</w:t>
            </w:r>
          </w:p>
        </w:tc>
      </w:tr>
    </w:tbl>
    <w:p w:rsidR="00000000" w:rsidDel="00000000" w:rsidP="00000000" w:rsidRDefault="00000000" w:rsidRPr="00000000" w14:paraId="0000000F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1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o objetivo de destinar recursos para a realização de eventos e atividades culturais no Centro Cultural Paschoal Carlos Magno.</w:t>
      </w:r>
    </w:p>
    <w:p w:rsidR="00000000" w:rsidDel="00000000" w:rsidP="00000000" w:rsidRDefault="00000000" w:rsidRPr="00000000" w14:paraId="00000019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F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0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tabs>
        <w:tab w:val="center" w:pos="4252"/>
        <w:tab w:val="right" w:pos="8504"/>
      </w:tabs>
      <w:spacing w:line="240" w:lineRule="auto"/>
      <w:jc w:val="center"/>
      <w:rPr>
        <w:rFonts w:ascii="Calibri" w:cs="Calibri" w:eastAsia="Calibri" w:hAnsi="Calibri"/>
      </w:rPr>
    </w:pPr>
    <w:r w:rsidDel="00000000" w:rsidR="00000000" w:rsidRPr="00000000">
      <w:rPr>
        <w:rFonts w:ascii="Calibri" w:cs="Calibri" w:eastAsia="Calibri" w:hAnsi="Calibri"/>
      </w:rPr>
      <w:drawing>
        <wp:inline distB="0" distT="0" distL="0" distR="0">
          <wp:extent cx="575915" cy="712152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5915" cy="71215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tabs>
        <w:tab w:val="center" w:pos="4252"/>
        <w:tab w:val="right" w:pos="8504"/>
      </w:tabs>
      <w:spacing w:line="240" w:lineRule="auto"/>
      <w:jc w:val="center"/>
      <w:rPr>
        <w:rFonts w:ascii="Helvetica Neue" w:cs="Helvetica Neue" w:eastAsia="Helvetica Neue" w:hAnsi="Helvetica Neue"/>
        <w:b w:val="1"/>
        <w:sz w:val="28"/>
        <w:szCs w:val="28"/>
      </w:rPr>
    </w:pPr>
    <w:r w:rsidDel="00000000" w:rsidR="00000000" w:rsidRPr="00000000">
      <w:rPr>
        <w:rFonts w:ascii="Helvetica Neue" w:cs="Helvetica Neue" w:eastAsia="Helvetica Neue" w:hAnsi="Helvetica Neue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1D">
    <w:pPr>
      <w:tabs>
        <w:tab w:val="center" w:pos="4252"/>
        <w:tab w:val="right" w:pos="8504"/>
      </w:tabs>
      <w:spacing w:line="240" w:lineRule="auto"/>
      <w:jc w:val="center"/>
      <w:rPr/>
    </w:pPr>
    <w:r w:rsidDel="00000000" w:rsidR="00000000" w:rsidRPr="00000000">
      <w:rPr>
        <w:rFonts w:ascii="Helvetica Neue" w:cs="Helvetica Neue" w:eastAsia="Helvetica Neue" w:hAnsi="Helvetica Neue"/>
        <w:sz w:val="28"/>
        <w:szCs w:val="28"/>
        <w:rtl w:val="0"/>
      </w:rPr>
      <w:t xml:space="preserve">Gabinete do Vereador Leonardo Giordano –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