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  <w:highlight w:val="yellow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realizar o Encontro Niterói com Niterói no Programa 0136 – Cultura e Lazer, da Secretaria das Culturas, unidade orçamentária 41.01.</w:t>
      </w:r>
    </w:p>
    <w:p w:rsidR="00000000" w:rsidDel="00000000" w:rsidP="00000000" w:rsidRDefault="00000000" w:rsidRPr="00000000" w14:paraId="00000004">
      <w:pPr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o Encontro Niterói com Niterói no Programa 0136 – Cultura e Lazer, da secretaria das Culturas, unidade orçamentária 41.01.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e Lazer 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360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Encontro Niterói com Niterói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10.52, atividade 0138.6067 Realização das grandes festividades e eventos da cidade.</w:t>
      </w:r>
    </w:p>
    <w:p w:rsidR="00000000" w:rsidDel="00000000" w:rsidP="00000000" w:rsidRDefault="00000000" w:rsidRPr="00000000" w14:paraId="00000011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sz w:val="24"/>
          <w:szCs w:val="24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Niterói é uma cidade com protagonismo nacional no segmento da cultura, a emenda tem o objetivo de destinar recursos para a realização de um grande evento chamado Encontro Niterói com Niterói que reunirá todas as culturas da cidade.</w:t>
      </w:r>
    </w:p>
    <w:p w:rsidR="00000000" w:rsidDel="00000000" w:rsidP="00000000" w:rsidRDefault="00000000" w:rsidRPr="00000000" w14:paraId="0000001A">
      <w:pPr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0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tabs>
        <w:tab w:val="center" w:pos="4252"/>
        <w:tab w:val="right" w:pos="8504"/>
      </w:tabs>
      <w:spacing w:line="240" w:lineRule="auto"/>
      <w:jc w:val="center"/>
      <w:rPr>
        <w:rFonts w:ascii="Calibri" w:cs="Calibri" w:eastAsia="Calibri" w:hAnsi="Calibri"/>
      </w:rPr>
    </w:pPr>
    <w:r w:rsidDel="00000000" w:rsidR="00000000" w:rsidRPr="00000000">
      <w:rPr>
        <w:rFonts w:ascii="Calibri" w:cs="Calibri" w:eastAsia="Calibri" w:hAnsi="Calibri"/>
      </w:rPr>
      <w:drawing>
        <wp:inline distB="0" distT="0" distL="0" distR="0">
          <wp:extent cx="575915" cy="712152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5915" cy="712152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tabs>
        <w:tab w:val="center" w:pos="4252"/>
        <w:tab w:val="right" w:pos="8504"/>
      </w:tabs>
      <w:spacing w:line="240" w:lineRule="auto"/>
      <w:jc w:val="center"/>
      <w:rPr>
        <w:rFonts w:ascii="Helvetica Neue" w:cs="Helvetica Neue" w:eastAsia="Helvetica Neue" w:hAnsi="Helvetica Neue"/>
        <w:b w:val="1"/>
        <w:sz w:val="28"/>
        <w:szCs w:val="28"/>
      </w:rPr>
    </w:pPr>
    <w:r w:rsidDel="00000000" w:rsidR="00000000" w:rsidRPr="00000000">
      <w:rPr>
        <w:rFonts w:ascii="Helvetica Neue" w:cs="Helvetica Neue" w:eastAsia="Helvetica Neue" w:hAnsi="Helvetica Neue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E">
    <w:pPr>
      <w:tabs>
        <w:tab w:val="center" w:pos="4252"/>
        <w:tab w:val="right" w:pos="8504"/>
      </w:tabs>
      <w:spacing w:line="240" w:lineRule="auto"/>
      <w:jc w:val="center"/>
      <w:rPr/>
    </w:pPr>
    <w:r w:rsidDel="00000000" w:rsidR="00000000" w:rsidRPr="00000000">
      <w:rPr>
        <w:rFonts w:ascii="Helvetica Neue" w:cs="Helvetica Neue" w:eastAsia="Helvetica Neue" w:hAnsi="Helvetica Neue"/>
        <w:sz w:val="28"/>
        <w:szCs w:val="28"/>
        <w:rtl w:val="0"/>
      </w:rPr>
      <w:t xml:space="preserve">Gabinete do Vereador Leonardo Giordano –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