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</w:p>
    <w:p w:rsidR="00000000" w:rsidDel="00000000" w:rsidP="00000000" w:rsidRDefault="00000000" w:rsidRPr="00000000" w14:paraId="00000002">
      <w:pPr>
        <w:pageBreakBefore w:val="0"/>
        <w:spacing w:line="276" w:lineRule="auto"/>
        <w:jc w:val="lef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 ação Apoio a Projetos de Uso de Jogos Educativos no Programa 0135 – Educação para Todos, da Secretaria de Educação, Ciência e Tecnologia, unidade orçamentária 20.43.</w:t>
      </w:r>
    </w:p>
    <w:p w:rsidR="00000000" w:rsidDel="00000000" w:rsidP="00000000" w:rsidRDefault="00000000" w:rsidRPr="00000000" w14:paraId="00000004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</w:t>
      </w:r>
      <w:r w:rsidDel="00000000" w:rsidR="00000000" w:rsidRPr="00000000">
        <w:rPr>
          <w:sz w:val="24"/>
          <w:szCs w:val="24"/>
          <w:rtl w:val="0"/>
        </w:rPr>
        <w:t xml:space="preserve">Adiciona a ação Apoio a Projetos de Uso de Jogos Educativos no Programa 0135 – Educação para Todos, unidade orçamentária 20.43.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235"/>
        <w:gridCol w:w="2595"/>
        <w:gridCol w:w="1559"/>
        <w:tblGridChange w:id="0">
          <w:tblGrid>
            <w:gridCol w:w="1843"/>
            <w:gridCol w:w="2235"/>
            <w:gridCol w:w="2595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8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9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A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0135 - Educação para Todos</w:t>
            </w:r>
          </w:p>
        </w:tc>
        <w:tc>
          <w:tcPr/>
          <w:p w:rsidR="00000000" w:rsidDel="00000000" w:rsidP="00000000" w:rsidRDefault="00000000" w:rsidRPr="00000000" w14:paraId="0000000C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20.43 -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Secretaria de Educação, Ciência e Tecnologia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pageBreakBefore w:val="0"/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Apoio a projetos de uso de jogos educativos</w:t>
            </w:r>
          </w:p>
          <w:p w:rsidR="00000000" w:rsidDel="00000000" w:rsidP="00000000" w:rsidRDefault="00000000" w:rsidRPr="00000000" w14:paraId="0000000E">
            <w:pPr>
              <w:pageBreakBefore w:val="0"/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300.000,00</w:t>
            </w:r>
          </w:p>
        </w:tc>
      </w:tr>
    </w:tbl>
    <w:p w:rsidR="00000000" w:rsidDel="00000000" w:rsidP="00000000" w:rsidRDefault="00000000" w:rsidRPr="00000000" w14:paraId="00000010">
      <w:pPr>
        <w:pageBreakBefore w:val="0"/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99 do órgão 99 - reserva de contingência.</w:t>
      </w:r>
    </w:p>
    <w:p w:rsidR="00000000" w:rsidDel="00000000" w:rsidP="00000000" w:rsidRDefault="00000000" w:rsidRPr="00000000" w14:paraId="00000012">
      <w:pPr>
        <w:pageBreakBefore w:val="0"/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8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ageBreakBefore w:val="0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A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ageBreakBefore w:val="0"/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Com a grande expansão da rede escolar municipal, o novo desafio da administração pública municipal é possibilitar a melhora nos índices que medem a qualidade de educação na cidade. Para isso, novas ferramentas podem e devem ser agregadas ao sistema educacional municipal, visando dar mais diversidade de meios de aprendizado e, se possível, transformando o uso do aluno em dados que possam municiar a ação do corpo docente. Para isso, faz-se mister observar que ferramentas como os jogos educativos tem tido destacado papel na obtenção de melhoras de índices de desenvolvimento escolar no mundo, sendo destaque na mídia, em congressos acadêmicos e nos resultados da vida prática. Sendo conhecidos tais resultados da aplicação dessa tecnologia, é importante dispor recursos para essa finalidade. </w:t>
      </w:r>
    </w:p>
    <w:p w:rsidR="00000000" w:rsidDel="00000000" w:rsidP="00000000" w:rsidRDefault="00000000" w:rsidRPr="00000000" w14:paraId="0000001C">
      <w:pPr>
        <w:pageBreakBefore w:val="0"/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Desde já contamos com apoio dessa egrégia.</w:t>
      </w:r>
    </w:p>
    <w:p w:rsidR="00000000" w:rsidDel="00000000" w:rsidP="00000000" w:rsidRDefault="00000000" w:rsidRPr="00000000" w14:paraId="0000001D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1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22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23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20">
    <w:pPr>
      <w:jc w:val="center"/>
      <w:rPr>
        <w:b w:val="1"/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