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reforçar ações para participação popular no Conselho Municipal de Política Cultural de Niterói (CMPCN)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</w:t>
      </w:r>
      <w:r w:rsidDel="00000000" w:rsidR="00000000" w:rsidRPr="00000000">
        <w:rPr>
          <w:sz w:val="24"/>
          <w:szCs w:val="24"/>
          <w:rtl w:val="0"/>
        </w:rPr>
        <w:t xml:space="preserve">reforçar ações para participação popular no Conselho Municipal de Política Cultural de Niterói (CMPCN) 0136 – Cultura é um Direito, da Secretaria das Culturas, unidade orçamentária 41.01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Reforçar ações para participação popular no Conselho Municipal de Política Cultural de Niterói (CMPCN)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Considerando que o conselho é composto por 15 câmaras setoriais, o valor dessa emenda é destinado para ações de reforço à participação popular no conselho e na conferência de cultura.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