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Heading1"/>
        <w:tabs>
          <w:tab w:pos="2966" w:val="left" w:leader="none"/>
        </w:tabs>
        <w:spacing w:before="100"/>
        <w:ind w:right="13"/>
      </w:pPr>
      <w:r>
        <w:rPr/>
        <w:t>EMENDA</w:t>
      </w:r>
      <w:r>
        <w:rPr>
          <w:spacing w:val="-3"/>
        </w:rPr>
        <w:t> </w:t>
      </w:r>
      <w:r>
        <w:rPr/>
        <w:t>ADITIVA</w:t>
      </w:r>
      <w:r>
        <w:rPr>
          <w:spacing w:val="-2"/>
        </w:rPr>
        <w:t> </w:t>
      </w:r>
      <w:r>
        <w:rPr/>
        <w:t>Nº</w:t>
        <w:tab/>
        <w:t>AO</w:t>
      </w:r>
      <w:r>
        <w:rPr>
          <w:spacing w:val="-2"/>
        </w:rPr>
        <w:t> </w:t>
      </w:r>
      <w:r>
        <w:rPr/>
        <w:t>PROJETO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LEI Nº</w:t>
      </w:r>
      <w:r>
        <w:rPr>
          <w:spacing w:val="-2"/>
        </w:rPr>
        <w:t> </w:t>
      </w:r>
      <w:r>
        <w:rPr/>
        <w:t>139/2022</w:t>
      </w:r>
    </w:p>
    <w:p>
      <w:pPr>
        <w:pStyle w:val="BodyText"/>
        <w:rPr>
          <w:b/>
          <w:sz w:val="28"/>
        </w:rPr>
      </w:pPr>
    </w:p>
    <w:p>
      <w:pPr>
        <w:pStyle w:val="BodyText"/>
        <w:spacing w:before="3"/>
        <w:rPr>
          <w:b/>
          <w:sz w:val="27"/>
        </w:rPr>
      </w:pPr>
    </w:p>
    <w:p>
      <w:pPr>
        <w:spacing w:line="276" w:lineRule="auto" w:before="0"/>
        <w:ind w:left="5232" w:right="1395" w:firstLine="0"/>
        <w:jc w:val="both"/>
        <w:rPr>
          <w:b/>
          <w:sz w:val="20"/>
        </w:rPr>
      </w:pPr>
      <w:r>
        <w:rPr>
          <w:b/>
          <w:sz w:val="20"/>
        </w:rPr>
        <w:t>EMENDA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ADITIVA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QUE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ACRESCENTA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AÇÃO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“AQUISIÇÃO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PIANO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PARA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O</w:t>
      </w:r>
      <w:r>
        <w:rPr>
          <w:b/>
          <w:spacing w:val="-56"/>
          <w:sz w:val="20"/>
        </w:rPr>
        <w:t> </w:t>
      </w:r>
      <w:r>
        <w:rPr>
          <w:b/>
          <w:sz w:val="20"/>
        </w:rPr>
        <w:t>THEATRO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MUNICIPAL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NITERÓI”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AO</w:t>
      </w:r>
      <w:r>
        <w:rPr>
          <w:b/>
          <w:spacing w:val="-56"/>
          <w:sz w:val="20"/>
        </w:rPr>
        <w:t> </w:t>
      </w:r>
      <w:r>
        <w:rPr>
          <w:b/>
          <w:sz w:val="20"/>
        </w:rPr>
        <w:t>ÓRGÃO 41 –SECRETARIA MUNICIPAL DAS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CULTURAS,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FUNÇÃO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13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–CULTURA-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NO</w:t>
      </w:r>
      <w:r>
        <w:rPr>
          <w:b/>
          <w:spacing w:val="-56"/>
          <w:sz w:val="20"/>
        </w:rPr>
        <w:t> </w:t>
      </w:r>
      <w:r>
        <w:rPr>
          <w:b/>
          <w:sz w:val="20"/>
        </w:rPr>
        <w:t>LIVRO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LOA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2023.</w:t>
      </w:r>
    </w:p>
    <w:p>
      <w:pPr>
        <w:pStyle w:val="BodyText"/>
        <w:rPr>
          <w:b/>
        </w:rPr>
      </w:pPr>
    </w:p>
    <w:p>
      <w:pPr>
        <w:pStyle w:val="BodyText"/>
        <w:spacing w:before="5"/>
        <w:rPr>
          <w:b/>
          <w:sz w:val="34"/>
        </w:rPr>
      </w:pPr>
    </w:p>
    <w:p>
      <w:pPr>
        <w:spacing w:line="276" w:lineRule="auto" w:before="0"/>
        <w:ind w:left="1262" w:right="1394" w:firstLine="0"/>
        <w:jc w:val="both"/>
        <w:rPr>
          <w:b/>
          <w:sz w:val="22"/>
        </w:rPr>
      </w:pPr>
      <w:r>
        <w:rPr>
          <w:b/>
          <w:sz w:val="22"/>
        </w:rPr>
        <w:t>Art.1º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-</w:t>
      </w:r>
      <w:r>
        <w:rPr>
          <w:b/>
          <w:spacing w:val="1"/>
          <w:sz w:val="22"/>
        </w:rPr>
        <w:t> </w:t>
      </w:r>
      <w:r>
        <w:rPr>
          <w:sz w:val="22"/>
        </w:rPr>
        <w:t>Adiciona-se</w:t>
      </w:r>
      <w:r>
        <w:rPr>
          <w:spacing w:val="1"/>
          <w:sz w:val="22"/>
        </w:rPr>
        <w:t> </w:t>
      </w:r>
      <w:r>
        <w:rPr>
          <w:sz w:val="22"/>
        </w:rPr>
        <w:t>a</w:t>
      </w:r>
      <w:r>
        <w:rPr>
          <w:spacing w:val="1"/>
          <w:sz w:val="22"/>
        </w:rPr>
        <w:t> </w:t>
      </w:r>
      <w:r>
        <w:rPr>
          <w:sz w:val="22"/>
        </w:rPr>
        <w:t>ação</w:t>
      </w:r>
      <w:r>
        <w:rPr>
          <w:spacing w:val="1"/>
          <w:sz w:val="22"/>
        </w:rPr>
        <w:t> </w:t>
      </w:r>
      <w:r>
        <w:rPr>
          <w:b/>
          <w:sz w:val="22"/>
        </w:rPr>
        <w:t>“AQUISIÇÃO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PIANO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PARA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O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THEATRO</w:t>
      </w:r>
      <w:r>
        <w:rPr>
          <w:b/>
          <w:spacing w:val="1"/>
          <w:sz w:val="22"/>
        </w:rPr>
        <w:t> </w:t>
      </w:r>
      <w:r>
        <w:rPr>
          <w:b/>
          <w:spacing w:val="-1"/>
          <w:sz w:val="22"/>
        </w:rPr>
        <w:t>MUNICIPAL</w:t>
      </w:r>
      <w:r>
        <w:rPr>
          <w:b/>
          <w:spacing w:val="-16"/>
          <w:sz w:val="22"/>
        </w:rPr>
        <w:t> </w:t>
      </w:r>
      <w:r>
        <w:rPr>
          <w:b/>
          <w:spacing w:val="-1"/>
          <w:sz w:val="22"/>
        </w:rPr>
        <w:t>DE</w:t>
      </w:r>
      <w:r>
        <w:rPr>
          <w:b/>
          <w:spacing w:val="-13"/>
          <w:sz w:val="22"/>
        </w:rPr>
        <w:t> </w:t>
      </w:r>
      <w:r>
        <w:rPr>
          <w:b/>
          <w:spacing w:val="-1"/>
          <w:sz w:val="22"/>
        </w:rPr>
        <w:t>NITERÓI”</w:t>
      </w:r>
      <w:r>
        <w:rPr>
          <w:b/>
          <w:spacing w:val="-15"/>
          <w:sz w:val="22"/>
        </w:rPr>
        <w:t> </w:t>
      </w:r>
      <w:r>
        <w:rPr>
          <w:sz w:val="22"/>
        </w:rPr>
        <w:t>ao</w:t>
      </w:r>
      <w:r>
        <w:rPr>
          <w:spacing w:val="-13"/>
          <w:sz w:val="22"/>
        </w:rPr>
        <w:t> </w:t>
      </w:r>
      <w:r>
        <w:rPr>
          <w:b/>
          <w:sz w:val="22"/>
        </w:rPr>
        <w:t>ÓRGÃO:</w:t>
      </w:r>
      <w:r>
        <w:rPr>
          <w:b/>
          <w:spacing w:val="-16"/>
          <w:sz w:val="22"/>
        </w:rPr>
        <w:t> </w:t>
      </w:r>
      <w:r>
        <w:rPr>
          <w:b/>
          <w:sz w:val="22"/>
        </w:rPr>
        <w:t>41.41</w:t>
      </w:r>
      <w:r>
        <w:rPr>
          <w:b/>
          <w:spacing w:val="-15"/>
          <w:sz w:val="22"/>
        </w:rPr>
        <w:t> </w:t>
      </w:r>
      <w:r>
        <w:rPr>
          <w:b/>
          <w:sz w:val="22"/>
        </w:rPr>
        <w:t>FUNDAÇÃO</w:t>
      </w:r>
      <w:r>
        <w:rPr>
          <w:b/>
          <w:spacing w:val="-14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13"/>
          <w:sz w:val="22"/>
        </w:rPr>
        <w:t> </w:t>
      </w:r>
      <w:r>
        <w:rPr>
          <w:b/>
          <w:sz w:val="22"/>
        </w:rPr>
        <w:t>ARTE</w:t>
      </w:r>
      <w:r>
        <w:rPr>
          <w:b/>
          <w:spacing w:val="-14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10"/>
          <w:sz w:val="22"/>
        </w:rPr>
        <w:t> </w:t>
      </w:r>
      <w:r>
        <w:rPr>
          <w:b/>
          <w:sz w:val="22"/>
        </w:rPr>
        <w:t>NITERÓI</w:t>
      </w:r>
    </w:p>
    <w:p>
      <w:pPr>
        <w:spacing w:line="276" w:lineRule="auto" w:before="0"/>
        <w:ind w:left="1262" w:right="1395" w:firstLine="0"/>
        <w:jc w:val="both"/>
        <w:rPr>
          <w:sz w:val="22"/>
        </w:rPr>
      </w:pPr>
      <w:r>
        <w:rPr>
          <w:b/>
          <w:sz w:val="22"/>
        </w:rPr>
        <w:t>- FAN, FUNÇÃO 13 –CULTURA </w:t>
      </w:r>
      <w:r>
        <w:rPr>
          <w:sz w:val="22"/>
        </w:rPr>
        <w:t>ao Livro LOA 2023, Anexo ao Projeto de Lei nº</w:t>
      </w:r>
      <w:r>
        <w:rPr>
          <w:spacing w:val="1"/>
          <w:sz w:val="22"/>
        </w:rPr>
        <w:t> </w:t>
      </w:r>
      <w:r>
        <w:rPr>
          <w:sz w:val="22"/>
        </w:rPr>
        <w:t>139/2022,</w:t>
      </w:r>
      <w:r>
        <w:rPr>
          <w:spacing w:val="-1"/>
          <w:sz w:val="22"/>
        </w:rPr>
        <w:t> </w:t>
      </w:r>
      <w:r>
        <w:rPr>
          <w:sz w:val="22"/>
        </w:rPr>
        <w:t>no valor</w:t>
      </w:r>
      <w:r>
        <w:rPr>
          <w:spacing w:val="-4"/>
          <w:sz w:val="22"/>
        </w:rPr>
        <w:t> </w:t>
      </w:r>
      <w:r>
        <w:rPr>
          <w:sz w:val="22"/>
        </w:rPr>
        <w:t>de</w:t>
      </w:r>
      <w:r>
        <w:rPr>
          <w:spacing w:val="-1"/>
          <w:sz w:val="22"/>
        </w:rPr>
        <w:t> </w:t>
      </w:r>
      <w:r>
        <w:rPr>
          <w:sz w:val="22"/>
        </w:rPr>
        <w:t>R$</w:t>
      </w:r>
      <w:r>
        <w:rPr>
          <w:spacing w:val="1"/>
          <w:sz w:val="22"/>
        </w:rPr>
        <w:t> </w:t>
      </w:r>
      <w:r>
        <w:rPr>
          <w:sz w:val="22"/>
        </w:rPr>
        <w:t>500.000,00</w:t>
      </w:r>
      <w:r>
        <w:rPr>
          <w:spacing w:val="-1"/>
          <w:sz w:val="22"/>
        </w:rPr>
        <w:t> </w:t>
      </w:r>
      <w:r>
        <w:rPr>
          <w:sz w:val="22"/>
        </w:rPr>
        <w:t>(quinhentos</w:t>
      </w:r>
      <w:r>
        <w:rPr>
          <w:spacing w:val="1"/>
          <w:sz w:val="22"/>
        </w:rPr>
        <w:t> </w:t>
      </w:r>
      <w:r>
        <w:rPr>
          <w:sz w:val="22"/>
        </w:rPr>
        <w:t>mil reais):</w:t>
      </w:r>
    </w:p>
    <w:p>
      <w:pPr>
        <w:spacing w:before="200"/>
        <w:ind w:left="1262" w:right="0" w:firstLine="0"/>
        <w:jc w:val="both"/>
        <w:rPr>
          <w:sz w:val="22"/>
        </w:rPr>
      </w:pPr>
      <w:r>
        <w:rPr>
          <w:b/>
          <w:sz w:val="22"/>
        </w:rPr>
        <w:t>Órgão:</w:t>
      </w:r>
      <w:r>
        <w:rPr>
          <w:b/>
          <w:spacing w:val="-2"/>
          <w:sz w:val="22"/>
        </w:rPr>
        <w:t> </w:t>
      </w:r>
      <w:r>
        <w:rPr>
          <w:sz w:val="22"/>
        </w:rPr>
        <w:t>41</w:t>
      </w:r>
      <w:r>
        <w:rPr>
          <w:spacing w:val="-2"/>
          <w:sz w:val="22"/>
        </w:rPr>
        <w:t> </w:t>
      </w:r>
      <w:r>
        <w:rPr>
          <w:sz w:val="22"/>
        </w:rPr>
        <w:t>–</w:t>
      </w:r>
      <w:r>
        <w:rPr>
          <w:spacing w:val="-2"/>
          <w:sz w:val="22"/>
        </w:rPr>
        <w:t> </w:t>
      </w:r>
      <w:r>
        <w:rPr>
          <w:sz w:val="22"/>
        </w:rPr>
        <w:t>SECRETARIA</w:t>
      </w:r>
      <w:r>
        <w:rPr>
          <w:spacing w:val="-2"/>
          <w:sz w:val="22"/>
        </w:rPr>
        <w:t> </w:t>
      </w:r>
      <w:r>
        <w:rPr>
          <w:sz w:val="22"/>
        </w:rPr>
        <w:t>MUNICIPAL</w:t>
      </w:r>
      <w:r>
        <w:rPr>
          <w:spacing w:val="-2"/>
          <w:sz w:val="22"/>
        </w:rPr>
        <w:t> </w:t>
      </w:r>
      <w:r>
        <w:rPr>
          <w:sz w:val="22"/>
        </w:rPr>
        <w:t>DAS</w:t>
      </w:r>
      <w:r>
        <w:rPr>
          <w:spacing w:val="-2"/>
          <w:sz w:val="22"/>
        </w:rPr>
        <w:t> </w:t>
      </w:r>
      <w:r>
        <w:rPr>
          <w:sz w:val="22"/>
        </w:rPr>
        <w:t>CULTURAS</w:t>
      </w:r>
    </w:p>
    <w:p>
      <w:pPr>
        <w:spacing w:before="140"/>
        <w:ind w:left="1262" w:right="0" w:firstLine="0"/>
        <w:jc w:val="both"/>
        <w:rPr>
          <w:sz w:val="22"/>
        </w:rPr>
      </w:pPr>
      <w:r>
        <w:rPr>
          <w:b/>
          <w:sz w:val="22"/>
        </w:rPr>
        <w:t>Unidade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Orçamentária:</w:t>
      </w:r>
      <w:r>
        <w:rPr>
          <w:b/>
          <w:spacing w:val="-1"/>
          <w:sz w:val="22"/>
        </w:rPr>
        <w:t> </w:t>
      </w:r>
      <w:r>
        <w:rPr>
          <w:sz w:val="22"/>
        </w:rPr>
        <w:t>41</w:t>
      </w:r>
      <w:r>
        <w:rPr>
          <w:spacing w:val="-1"/>
          <w:sz w:val="22"/>
        </w:rPr>
        <w:t> </w:t>
      </w:r>
      <w:r>
        <w:rPr>
          <w:sz w:val="22"/>
        </w:rPr>
        <w:t>–</w:t>
      </w:r>
      <w:r>
        <w:rPr>
          <w:spacing w:val="-2"/>
          <w:sz w:val="22"/>
        </w:rPr>
        <w:t> </w:t>
      </w:r>
      <w:r>
        <w:rPr>
          <w:sz w:val="22"/>
        </w:rPr>
        <w:t>FUNDAÇÃO</w:t>
      </w:r>
      <w:r>
        <w:rPr>
          <w:spacing w:val="-3"/>
          <w:sz w:val="22"/>
        </w:rPr>
        <w:t> </w:t>
      </w:r>
      <w:r>
        <w:rPr>
          <w:sz w:val="22"/>
        </w:rPr>
        <w:t>DE</w:t>
      </w:r>
      <w:r>
        <w:rPr>
          <w:spacing w:val="-3"/>
          <w:sz w:val="22"/>
        </w:rPr>
        <w:t> </w:t>
      </w:r>
      <w:r>
        <w:rPr>
          <w:sz w:val="22"/>
        </w:rPr>
        <w:t>ARTE</w:t>
      </w:r>
      <w:r>
        <w:rPr>
          <w:spacing w:val="-1"/>
          <w:sz w:val="22"/>
        </w:rPr>
        <w:t> </w:t>
      </w:r>
      <w:r>
        <w:rPr>
          <w:sz w:val="22"/>
        </w:rPr>
        <w:t>DE</w:t>
      </w:r>
      <w:r>
        <w:rPr>
          <w:spacing w:val="-1"/>
          <w:sz w:val="22"/>
        </w:rPr>
        <w:t> </w:t>
      </w:r>
      <w:r>
        <w:rPr>
          <w:sz w:val="22"/>
        </w:rPr>
        <w:t>NITERÓI-</w:t>
      </w:r>
      <w:r>
        <w:rPr>
          <w:spacing w:val="-3"/>
          <w:sz w:val="22"/>
        </w:rPr>
        <w:t> </w:t>
      </w:r>
      <w:r>
        <w:rPr>
          <w:sz w:val="22"/>
        </w:rPr>
        <w:t>FAN</w:t>
      </w:r>
    </w:p>
    <w:p>
      <w:pPr>
        <w:pStyle w:val="BodyText"/>
        <w:spacing w:before="11"/>
        <w:rPr>
          <w:sz w:val="19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39"/>
        <w:gridCol w:w="1277"/>
        <w:gridCol w:w="1558"/>
        <w:gridCol w:w="1419"/>
        <w:gridCol w:w="953"/>
        <w:gridCol w:w="1032"/>
        <w:gridCol w:w="1510"/>
        <w:gridCol w:w="1231"/>
      </w:tblGrid>
      <w:tr>
        <w:trPr>
          <w:trHeight w:val="750" w:hRule="atLeast"/>
        </w:trPr>
        <w:tc>
          <w:tcPr>
            <w:tcW w:w="1839" w:type="dxa"/>
          </w:tcPr>
          <w:p>
            <w:pPr>
              <w:pStyle w:val="TableParagraph"/>
              <w:spacing w:before="158"/>
              <w:ind w:left="110" w:right="213" w:firstLine="316"/>
              <w:rPr>
                <w:b/>
                <w:sz w:val="18"/>
              </w:rPr>
            </w:pPr>
            <w:r>
              <w:rPr>
                <w:b/>
                <w:sz w:val="18"/>
              </w:rPr>
              <w:t>UNIDADE</w:t>
            </w:r>
            <w:r>
              <w:rPr>
                <w:b/>
                <w:spacing w:val="1"/>
                <w:sz w:val="18"/>
              </w:rPr>
              <w:t> </w:t>
            </w:r>
            <w:r>
              <w:rPr>
                <w:b/>
                <w:spacing w:val="-1"/>
                <w:sz w:val="18"/>
              </w:rPr>
              <w:t>ORÇAMENTÁRIA</w:t>
            </w:r>
          </w:p>
        </w:tc>
        <w:tc>
          <w:tcPr>
            <w:tcW w:w="1277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ind w:left="198"/>
              <w:rPr>
                <w:b/>
                <w:sz w:val="18"/>
              </w:rPr>
            </w:pPr>
            <w:r>
              <w:rPr>
                <w:b/>
                <w:sz w:val="18"/>
              </w:rPr>
              <w:t>FUNÇÃO</w:t>
            </w:r>
          </w:p>
        </w:tc>
        <w:tc>
          <w:tcPr>
            <w:tcW w:w="1558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ind w:left="153"/>
              <w:rPr>
                <w:b/>
                <w:sz w:val="18"/>
              </w:rPr>
            </w:pPr>
            <w:r>
              <w:rPr>
                <w:b/>
                <w:sz w:val="18"/>
              </w:rPr>
              <w:t>SUBFUNÇÃO</w:t>
            </w:r>
          </w:p>
        </w:tc>
        <w:tc>
          <w:tcPr>
            <w:tcW w:w="1419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ind w:left="100" w:right="20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PROGRAMA</w:t>
            </w:r>
          </w:p>
        </w:tc>
        <w:tc>
          <w:tcPr>
            <w:tcW w:w="953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ind w:left="162"/>
              <w:rPr>
                <w:b/>
                <w:sz w:val="18"/>
              </w:rPr>
            </w:pPr>
            <w:r>
              <w:rPr>
                <w:b/>
                <w:sz w:val="18"/>
              </w:rPr>
              <w:t>AÇÃO</w:t>
            </w:r>
          </w:p>
        </w:tc>
        <w:tc>
          <w:tcPr>
            <w:tcW w:w="1032" w:type="dxa"/>
          </w:tcPr>
          <w:p>
            <w:pPr>
              <w:pStyle w:val="TableParagraph"/>
              <w:spacing w:before="158"/>
              <w:ind w:left="114" w:right="220" w:firstLine="31"/>
              <w:rPr>
                <w:b/>
                <w:sz w:val="18"/>
              </w:rPr>
            </w:pPr>
            <w:r>
              <w:rPr>
                <w:b/>
                <w:sz w:val="18"/>
              </w:rPr>
              <w:t>VALOR</w:t>
            </w:r>
            <w:r>
              <w:rPr>
                <w:b/>
                <w:spacing w:val="-50"/>
                <w:sz w:val="18"/>
              </w:rPr>
              <w:t> </w:t>
            </w:r>
            <w:r>
              <w:rPr>
                <w:b/>
                <w:sz w:val="18"/>
              </w:rPr>
              <w:t>NA</w:t>
            </w:r>
            <w:r>
              <w:rPr>
                <w:b/>
                <w:spacing w:val="-12"/>
                <w:sz w:val="18"/>
              </w:rPr>
              <w:t> </w:t>
            </w:r>
            <w:r>
              <w:rPr>
                <w:b/>
                <w:sz w:val="18"/>
              </w:rPr>
              <w:t>LOA</w:t>
            </w:r>
          </w:p>
        </w:tc>
        <w:tc>
          <w:tcPr>
            <w:tcW w:w="1510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ind w:left="119" w:right="23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ACRÉSCIMO</w:t>
            </w:r>
          </w:p>
        </w:tc>
        <w:tc>
          <w:tcPr>
            <w:tcW w:w="1231" w:type="dxa"/>
          </w:tcPr>
          <w:p>
            <w:pPr>
              <w:pStyle w:val="TableParagraph"/>
              <w:spacing w:before="158"/>
              <w:ind w:left="277" w:right="339" w:hanging="32"/>
              <w:rPr>
                <w:b/>
                <w:sz w:val="18"/>
              </w:rPr>
            </w:pPr>
            <w:r>
              <w:rPr>
                <w:b/>
                <w:sz w:val="18"/>
              </w:rPr>
              <w:t>VALOR</w:t>
            </w:r>
            <w:r>
              <w:rPr>
                <w:b/>
                <w:spacing w:val="-50"/>
                <w:sz w:val="18"/>
              </w:rPr>
              <w:t> </w:t>
            </w:r>
            <w:r>
              <w:rPr>
                <w:b/>
                <w:sz w:val="18"/>
              </w:rPr>
              <w:t>FINAL</w:t>
            </w:r>
          </w:p>
        </w:tc>
      </w:tr>
      <w:tr>
        <w:trPr>
          <w:trHeight w:val="534" w:hRule="atLeast"/>
        </w:trPr>
        <w:tc>
          <w:tcPr>
            <w:tcW w:w="1839" w:type="dxa"/>
          </w:tcPr>
          <w:p>
            <w:pPr>
              <w:pStyle w:val="TableParagraph"/>
              <w:spacing w:before="3"/>
              <w:rPr>
                <w:sz w:val="17"/>
              </w:rPr>
            </w:pPr>
          </w:p>
          <w:p>
            <w:pPr>
              <w:pStyle w:val="TableParagraph"/>
              <w:ind w:left="617" w:right="724"/>
              <w:jc w:val="center"/>
              <w:rPr>
                <w:sz w:val="18"/>
              </w:rPr>
            </w:pPr>
            <w:r>
              <w:rPr>
                <w:sz w:val="18"/>
              </w:rPr>
              <w:t>41.41</w:t>
            </w:r>
          </w:p>
        </w:tc>
        <w:tc>
          <w:tcPr>
            <w:tcW w:w="1277" w:type="dxa"/>
          </w:tcPr>
          <w:p>
            <w:pPr>
              <w:pStyle w:val="TableParagraph"/>
              <w:spacing w:before="100"/>
              <w:ind w:left="273" w:right="381"/>
              <w:jc w:val="center"/>
              <w:rPr>
                <w:sz w:val="18"/>
              </w:rPr>
            </w:pPr>
            <w:r>
              <w:rPr>
                <w:sz w:val="18"/>
              </w:rPr>
              <w:t>13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-</w:t>
            </w:r>
          </w:p>
          <w:p>
            <w:pPr>
              <w:pStyle w:val="TableParagraph"/>
              <w:spacing w:line="196" w:lineRule="exact" w:before="1"/>
              <w:ind w:left="276" w:right="381"/>
              <w:jc w:val="center"/>
              <w:rPr>
                <w:sz w:val="18"/>
              </w:rPr>
            </w:pPr>
            <w:r>
              <w:rPr>
                <w:sz w:val="18"/>
              </w:rPr>
              <w:t>Cultura</w:t>
            </w:r>
          </w:p>
        </w:tc>
        <w:tc>
          <w:tcPr>
            <w:tcW w:w="1558" w:type="dxa"/>
          </w:tcPr>
          <w:p>
            <w:pPr>
              <w:pStyle w:val="TableParagraph"/>
              <w:spacing w:line="220" w:lineRule="atLeast" w:before="77"/>
              <w:ind w:left="412" w:right="308" w:hanging="202"/>
              <w:rPr>
                <w:sz w:val="18"/>
              </w:rPr>
            </w:pPr>
            <w:r>
              <w:rPr>
                <w:sz w:val="18"/>
              </w:rPr>
              <w:t>392- Difusão</w:t>
            </w:r>
            <w:r>
              <w:rPr>
                <w:spacing w:val="-54"/>
                <w:sz w:val="18"/>
              </w:rPr>
              <w:t> </w:t>
            </w:r>
            <w:r>
              <w:rPr>
                <w:sz w:val="18"/>
              </w:rPr>
              <w:t>Cultural</w:t>
            </w:r>
          </w:p>
        </w:tc>
        <w:tc>
          <w:tcPr>
            <w:tcW w:w="1419" w:type="dxa"/>
          </w:tcPr>
          <w:p>
            <w:pPr>
              <w:pStyle w:val="TableParagraph"/>
              <w:spacing w:before="3"/>
              <w:rPr>
                <w:sz w:val="17"/>
              </w:rPr>
            </w:pPr>
          </w:p>
          <w:p>
            <w:pPr>
              <w:pStyle w:val="TableParagraph"/>
              <w:ind w:left="100" w:right="208"/>
              <w:jc w:val="center"/>
              <w:rPr>
                <w:sz w:val="18"/>
              </w:rPr>
            </w:pPr>
            <w:r>
              <w:rPr>
                <w:sz w:val="18"/>
              </w:rPr>
              <w:t>0136</w:t>
            </w:r>
          </w:p>
        </w:tc>
        <w:tc>
          <w:tcPr>
            <w:tcW w:w="953" w:type="dxa"/>
          </w:tcPr>
          <w:p>
            <w:pPr>
              <w:pStyle w:val="TableParagraph"/>
              <w:spacing w:line="220" w:lineRule="atLeast" w:before="77"/>
              <w:ind w:left="224" w:right="233" w:hanging="84"/>
              <w:rPr>
                <w:sz w:val="18"/>
              </w:rPr>
            </w:pPr>
            <w:r>
              <w:rPr>
                <w:sz w:val="18"/>
              </w:rPr>
              <w:t>Cria-se</w:t>
            </w:r>
            <w:r>
              <w:rPr>
                <w:spacing w:val="-54"/>
                <w:sz w:val="18"/>
              </w:rPr>
              <w:t> </w:t>
            </w:r>
            <w:r>
              <w:rPr>
                <w:sz w:val="18"/>
              </w:rPr>
              <w:t>nova</w:t>
            </w:r>
          </w:p>
        </w:tc>
        <w:tc>
          <w:tcPr>
            <w:tcW w:w="1032" w:type="dxa"/>
          </w:tcPr>
          <w:p>
            <w:pPr>
              <w:pStyle w:val="TableParagraph"/>
              <w:spacing w:line="220" w:lineRule="atLeast" w:before="77"/>
              <w:ind w:left="196" w:right="289" w:firstLine="100"/>
              <w:rPr>
                <w:sz w:val="18"/>
              </w:rPr>
            </w:pPr>
            <w:r>
              <w:rPr>
                <w:sz w:val="18"/>
              </w:rPr>
              <w:t>Não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consta</w:t>
            </w:r>
          </w:p>
        </w:tc>
        <w:tc>
          <w:tcPr>
            <w:tcW w:w="1510" w:type="dxa"/>
          </w:tcPr>
          <w:p>
            <w:pPr>
              <w:pStyle w:val="TableParagraph"/>
              <w:spacing w:before="3"/>
              <w:rPr>
                <w:sz w:val="17"/>
              </w:rPr>
            </w:pPr>
          </w:p>
          <w:p>
            <w:pPr>
              <w:pStyle w:val="TableParagraph"/>
              <w:ind w:left="119" w:right="229"/>
              <w:jc w:val="center"/>
              <w:rPr>
                <w:sz w:val="18"/>
              </w:rPr>
            </w:pPr>
            <w:r>
              <w:rPr>
                <w:sz w:val="18"/>
              </w:rPr>
              <w:t>R$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500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mil</w:t>
            </w:r>
          </w:p>
        </w:tc>
        <w:tc>
          <w:tcPr>
            <w:tcW w:w="1231" w:type="dxa"/>
          </w:tcPr>
          <w:p>
            <w:pPr>
              <w:pStyle w:val="TableParagraph"/>
              <w:spacing w:before="3"/>
              <w:rPr>
                <w:sz w:val="17"/>
              </w:rPr>
            </w:pPr>
          </w:p>
          <w:p>
            <w:pPr>
              <w:pStyle w:val="TableParagraph"/>
              <w:ind w:left="131"/>
              <w:rPr>
                <w:sz w:val="18"/>
              </w:rPr>
            </w:pPr>
            <w:r>
              <w:rPr>
                <w:sz w:val="18"/>
              </w:rPr>
              <w:t>R$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500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mil</w:t>
            </w:r>
          </w:p>
        </w:tc>
      </w:tr>
    </w:tbl>
    <w:p>
      <w:pPr>
        <w:pStyle w:val="BodyText"/>
        <w:rPr>
          <w:sz w:val="26"/>
        </w:rPr>
      </w:pPr>
    </w:p>
    <w:p>
      <w:pPr>
        <w:spacing w:before="186"/>
        <w:ind w:left="1262" w:right="0" w:firstLine="0"/>
        <w:jc w:val="both"/>
        <w:rPr>
          <w:b/>
          <w:sz w:val="22"/>
        </w:rPr>
      </w:pPr>
      <w:r>
        <w:rPr>
          <w:b/>
          <w:sz w:val="22"/>
        </w:rPr>
        <w:t>Art.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2º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-</w:t>
      </w:r>
      <w:r>
        <w:rPr>
          <w:b/>
          <w:spacing w:val="-2"/>
          <w:sz w:val="22"/>
        </w:rPr>
        <w:t> </w:t>
      </w:r>
      <w:r>
        <w:rPr>
          <w:sz w:val="22"/>
        </w:rPr>
        <w:t>Os</w:t>
      </w:r>
      <w:r>
        <w:rPr>
          <w:spacing w:val="-10"/>
          <w:sz w:val="22"/>
        </w:rPr>
        <w:t> </w:t>
      </w:r>
      <w:r>
        <w:rPr>
          <w:sz w:val="22"/>
        </w:rPr>
        <w:t>valores</w:t>
      </w:r>
      <w:r>
        <w:rPr>
          <w:spacing w:val="-7"/>
          <w:sz w:val="22"/>
        </w:rPr>
        <w:t> </w:t>
      </w:r>
      <w:r>
        <w:rPr>
          <w:sz w:val="22"/>
        </w:rPr>
        <w:t>para</w:t>
      </w:r>
      <w:r>
        <w:rPr>
          <w:spacing w:val="-11"/>
          <w:sz w:val="22"/>
        </w:rPr>
        <w:t> </w:t>
      </w:r>
      <w:r>
        <w:rPr>
          <w:sz w:val="22"/>
        </w:rPr>
        <w:t>a</w:t>
      </w:r>
      <w:r>
        <w:rPr>
          <w:spacing w:val="-8"/>
          <w:sz w:val="22"/>
        </w:rPr>
        <w:t> </w:t>
      </w:r>
      <w:r>
        <w:rPr>
          <w:sz w:val="22"/>
        </w:rPr>
        <w:t>execução</w:t>
      </w:r>
      <w:r>
        <w:rPr>
          <w:spacing w:val="-7"/>
          <w:sz w:val="22"/>
        </w:rPr>
        <w:t> </w:t>
      </w:r>
      <w:r>
        <w:rPr>
          <w:sz w:val="22"/>
        </w:rPr>
        <w:t>da</w:t>
      </w:r>
      <w:r>
        <w:rPr>
          <w:spacing w:val="-8"/>
          <w:sz w:val="22"/>
        </w:rPr>
        <w:t> </w:t>
      </w:r>
      <w:r>
        <w:rPr>
          <w:sz w:val="22"/>
        </w:rPr>
        <w:t>ação</w:t>
      </w:r>
      <w:r>
        <w:rPr>
          <w:spacing w:val="-7"/>
          <w:sz w:val="22"/>
        </w:rPr>
        <w:t> </w:t>
      </w:r>
      <w:r>
        <w:rPr>
          <w:sz w:val="22"/>
        </w:rPr>
        <w:t>acima,</w:t>
      </w:r>
      <w:r>
        <w:rPr>
          <w:spacing w:val="-7"/>
          <w:sz w:val="22"/>
        </w:rPr>
        <w:t> </w:t>
      </w:r>
      <w:r>
        <w:rPr>
          <w:sz w:val="22"/>
        </w:rPr>
        <w:t>são</w:t>
      </w:r>
      <w:r>
        <w:rPr>
          <w:spacing w:val="-8"/>
          <w:sz w:val="22"/>
        </w:rPr>
        <w:t> </w:t>
      </w:r>
      <w:r>
        <w:rPr>
          <w:sz w:val="22"/>
        </w:rPr>
        <w:t>provenientes</w:t>
      </w:r>
      <w:r>
        <w:rPr>
          <w:spacing w:val="-8"/>
          <w:sz w:val="22"/>
        </w:rPr>
        <w:t> </w:t>
      </w:r>
      <w:r>
        <w:rPr>
          <w:sz w:val="22"/>
        </w:rPr>
        <w:t>do</w:t>
      </w:r>
      <w:r>
        <w:rPr>
          <w:spacing w:val="-10"/>
          <w:sz w:val="22"/>
        </w:rPr>
        <w:t> </w:t>
      </w:r>
      <w:r>
        <w:rPr>
          <w:b/>
          <w:sz w:val="22"/>
        </w:rPr>
        <w:t>ÓRGÃO: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99</w:t>
      </w:r>
    </w:p>
    <w:p>
      <w:pPr>
        <w:tabs>
          <w:tab w:pos="2827" w:val="left" w:leader="none"/>
          <w:tab w:pos="5923" w:val="left" w:leader="none"/>
          <w:tab w:pos="9019" w:val="left" w:leader="none"/>
        </w:tabs>
        <w:spacing w:line="276" w:lineRule="auto" w:before="40"/>
        <w:ind w:left="1262" w:right="1391" w:firstLine="0"/>
        <w:jc w:val="both"/>
        <w:rPr>
          <w:b/>
          <w:sz w:val="22"/>
        </w:rPr>
      </w:pPr>
      <w:r>
        <w:rPr>
          <w:b/>
          <w:sz w:val="22"/>
        </w:rPr>
        <w:t>– RESERVA DE CONTINGÊNCIA,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UNIDADE ORÇAMENTÁRIA: 99 – RESERVA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DE</w:t>
        <w:tab/>
        <w:t>CONTINGÊNCIA,</w:t>
        <w:tab/>
        <w:t>PROGRAMÁTICA</w:t>
        <w:tab/>
        <w:t>0900,</w:t>
      </w:r>
      <w:r>
        <w:rPr>
          <w:b/>
          <w:spacing w:val="-63"/>
          <w:sz w:val="22"/>
        </w:rPr>
        <w:t> </w:t>
      </w:r>
      <w:r>
        <w:rPr>
          <w:b/>
          <w:sz w:val="22"/>
        </w:rPr>
        <w:t>PROGRAMA/AÇÃO/LOCALIZAÇÃO:  </w:t>
      </w:r>
      <w:r>
        <w:rPr>
          <w:b/>
          <w:spacing w:val="4"/>
          <w:sz w:val="22"/>
        </w:rPr>
        <w:t> </w:t>
      </w:r>
      <w:r>
        <w:rPr>
          <w:b/>
          <w:sz w:val="22"/>
        </w:rPr>
        <w:t>OPERAÇÕES  </w:t>
      </w:r>
      <w:r>
        <w:rPr>
          <w:b/>
          <w:spacing w:val="5"/>
          <w:sz w:val="22"/>
        </w:rPr>
        <w:t> </w:t>
      </w:r>
      <w:r>
        <w:rPr>
          <w:b/>
          <w:sz w:val="22"/>
        </w:rPr>
        <w:t>ESPECIAIS,  </w:t>
      </w:r>
      <w:r>
        <w:rPr>
          <w:b/>
          <w:spacing w:val="3"/>
          <w:sz w:val="22"/>
        </w:rPr>
        <w:t> </w:t>
      </w:r>
      <w:r>
        <w:rPr>
          <w:b/>
          <w:sz w:val="22"/>
        </w:rPr>
        <w:t>FUNCIONAL</w:t>
      </w:r>
    </w:p>
    <w:p>
      <w:pPr>
        <w:spacing w:line="273" w:lineRule="auto" w:before="0"/>
        <w:ind w:left="1262" w:right="1392" w:firstLine="0"/>
        <w:jc w:val="both"/>
        <w:rPr>
          <w:sz w:val="22"/>
        </w:rPr>
      </w:pPr>
      <w:r>
        <w:rPr>
          <w:b/>
          <w:sz w:val="22"/>
        </w:rPr>
        <w:t>99.999 </w:t>
      </w:r>
      <w:r>
        <w:rPr>
          <w:sz w:val="22"/>
        </w:rPr>
        <w:t>que consta na LOA 2023 com o saldo de R$ 79.476.691,91 (setenta e nove</w:t>
      </w:r>
      <w:r>
        <w:rPr>
          <w:spacing w:val="1"/>
          <w:sz w:val="22"/>
        </w:rPr>
        <w:t> </w:t>
      </w:r>
      <w:r>
        <w:rPr>
          <w:sz w:val="22"/>
        </w:rPr>
        <w:t>milhões, quatrocentos e setenta e seis mil, seiscentos e noventa e um reais e noventa</w:t>
      </w:r>
      <w:r>
        <w:rPr>
          <w:spacing w:val="-66"/>
          <w:sz w:val="22"/>
        </w:rPr>
        <w:t> </w:t>
      </w:r>
      <w:r>
        <w:rPr>
          <w:spacing w:val="-1"/>
          <w:sz w:val="22"/>
        </w:rPr>
        <w:t>e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um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centavos)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oriundos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das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transferências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da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União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referente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aos</w:t>
      </w:r>
      <w:r>
        <w:rPr>
          <w:spacing w:val="-14"/>
          <w:sz w:val="22"/>
        </w:rPr>
        <w:t> </w:t>
      </w:r>
      <w:r>
        <w:rPr>
          <w:spacing w:val="-1"/>
          <w:sz w:val="23"/>
        </w:rPr>
        <w:t>royalties</w:t>
      </w:r>
      <w:r>
        <w:rPr>
          <w:spacing w:val="-17"/>
          <w:sz w:val="23"/>
        </w:rPr>
        <w:t> </w:t>
      </w:r>
      <w:r>
        <w:rPr>
          <w:sz w:val="22"/>
        </w:rPr>
        <w:t>do</w:t>
      </w:r>
      <w:r>
        <w:rPr>
          <w:spacing w:val="-16"/>
          <w:sz w:val="22"/>
        </w:rPr>
        <w:t> </w:t>
      </w:r>
      <w:r>
        <w:rPr>
          <w:sz w:val="22"/>
        </w:rPr>
        <w:t>petróleo</w:t>
      </w:r>
      <w:r>
        <w:rPr>
          <w:spacing w:val="-66"/>
          <w:sz w:val="22"/>
        </w:rPr>
        <w:t> </w:t>
      </w:r>
      <w:r>
        <w:rPr>
          <w:sz w:val="22"/>
        </w:rPr>
        <w:t>e gás natural (Código 1704). O valor realocado da ação acima citada será de R$ R$</w:t>
      </w:r>
      <w:r>
        <w:rPr>
          <w:spacing w:val="1"/>
          <w:sz w:val="22"/>
        </w:rPr>
        <w:t> </w:t>
      </w:r>
      <w:r>
        <w:rPr>
          <w:sz w:val="22"/>
        </w:rPr>
        <w:t>500.000,00</w:t>
      </w:r>
      <w:r>
        <w:rPr>
          <w:spacing w:val="-1"/>
          <w:sz w:val="22"/>
        </w:rPr>
        <w:t> </w:t>
      </w:r>
      <w:r>
        <w:rPr>
          <w:sz w:val="22"/>
        </w:rPr>
        <w:t>(quinhentos</w:t>
      </w:r>
      <w:r>
        <w:rPr>
          <w:spacing w:val="-1"/>
          <w:sz w:val="22"/>
        </w:rPr>
        <w:t> </w:t>
      </w:r>
      <w:r>
        <w:rPr>
          <w:sz w:val="22"/>
        </w:rPr>
        <w:t>mil reais).</w:t>
      </w:r>
    </w:p>
    <w:p>
      <w:pPr>
        <w:spacing w:before="199"/>
        <w:ind w:left="5359" w:right="0" w:firstLine="0"/>
        <w:jc w:val="left"/>
        <w:rPr>
          <w:sz w:val="22"/>
        </w:rPr>
      </w:pPr>
      <w:r>
        <w:rPr/>
        <w:drawing>
          <wp:anchor distT="0" distB="0" distL="0" distR="0" allowOverlap="1" layoutInCell="1" locked="0" behindDoc="1" simplePos="0" relativeHeight="487522304">
            <wp:simplePos x="0" y="0"/>
            <wp:positionH relativeFrom="page">
              <wp:posOffset>3380816</wp:posOffset>
            </wp:positionH>
            <wp:positionV relativeFrom="paragraph">
              <wp:posOffset>304916</wp:posOffset>
            </wp:positionV>
            <wp:extent cx="799763" cy="447868"/>
            <wp:effectExtent l="0" t="0" r="0" b="0"/>
            <wp:wrapNone/>
            <wp:docPr id="3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9763" cy="4478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Sala</w:t>
      </w:r>
      <w:r>
        <w:rPr>
          <w:spacing w:val="-2"/>
          <w:sz w:val="22"/>
        </w:rPr>
        <w:t> </w:t>
      </w:r>
      <w:r>
        <w:rPr>
          <w:sz w:val="22"/>
        </w:rPr>
        <w:t>das</w:t>
      </w:r>
      <w:r>
        <w:rPr>
          <w:spacing w:val="-1"/>
          <w:sz w:val="22"/>
        </w:rPr>
        <w:t> </w:t>
      </w:r>
      <w:r>
        <w:rPr>
          <w:sz w:val="22"/>
        </w:rPr>
        <w:t>Sessões, 22</w:t>
      </w:r>
      <w:r>
        <w:rPr>
          <w:spacing w:val="-4"/>
          <w:sz w:val="22"/>
        </w:rPr>
        <w:t> </w:t>
      </w:r>
      <w:r>
        <w:rPr>
          <w:sz w:val="22"/>
        </w:rPr>
        <w:t>de</w:t>
      </w:r>
      <w:r>
        <w:rPr>
          <w:spacing w:val="-4"/>
          <w:sz w:val="22"/>
        </w:rPr>
        <w:t> </w:t>
      </w:r>
      <w:r>
        <w:rPr>
          <w:sz w:val="22"/>
        </w:rPr>
        <w:t>novembro de</w:t>
      </w:r>
      <w:r>
        <w:rPr>
          <w:spacing w:val="-1"/>
          <w:sz w:val="22"/>
        </w:rPr>
        <w:t> </w:t>
      </w:r>
      <w:r>
        <w:rPr>
          <w:sz w:val="22"/>
        </w:rPr>
        <w:t>2022.</w:t>
      </w:r>
    </w:p>
    <w:p>
      <w:pPr>
        <w:pStyle w:val="BodyText"/>
        <w:rPr>
          <w:sz w:val="26"/>
        </w:rPr>
      </w:pPr>
    </w:p>
    <w:p>
      <w:pPr>
        <w:pStyle w:val="BodyText"/>
        <w:spacing w:before="10"/>
        <w:rPr>
          <w:sz w:val="28"/>
        </w:rPr>
      </w:pPr>
    </w:p>
    <w:p>
      <w:pPr>
        <w:pStyle w:val="Heading1"/>
        <w:ind w:right="21"/>
      </w:pPr>
      <w:r>
        <w:rPr>
          <w:color w:val="212121"/>
        </w:rPr>
        <w:t>MARCOS</w:t>
      </w:r>
      <w:r>
        <w:rPr>
          <w:color w:val="212121"/>
          <w:spacing w:val="-5"/>
        </w:rPr>
        <w:t> </w:t>
      </w:r>
      <w:r>
        <w:rPr>
          <w:color w:val="212121"/>
        </w:rPr>
        <w:t>SABINO</w:t>
      </w:r>
    </w:p>
    <w:p>
      <w:pPr>
        <w:spacing w:before="101"/>
        <w:ind w:left="0" w:right="20" w:firstLine="0"/>
        <w:jc w:val="center"/>
        <w:rPr>
          <w:b/>
          <w:sz w:val="24"/>
        </w:rPr>
      </w:pPr>
      <w:r>
        <w:rPr>
          <w:b/>
          <w:sz w:val="24"/>
        </w:rPr>
        <w:t>Vereador</w:t>
      </w:r>
    </w:p>
    <w:p>
      <w:pPr>
        <w:spacing w:after="0"/>
        <w:jc w:val="center"/>
        <w:rPr>
          <w:sz w:val="24"/>
        </w:rPr>
        <w:sectPr>
          <w:headerReference w:type="default" r:id="rId5"/>
          <w:footerReference w:type="default" r:id="rId6"/>
          <w:type w:val="continuous"/>
          <w:pgSz w:w="11910" w:h="16840"/>
          <w:pgMar w:header="718" w:footer="988" w:top="2940" w:bottom="1180" w:left="440" w:right="420"/>
          <w:pgNumType w:start="1"/>
        </w:sectPr>
      </w:pPr>
    </w:p>
    <w:p>
      <w:pPr>
        <w:pStyle w:val="BodyText"/>
        <w:rPr>
          <w:b/>
          <w:sz w:val="20"/>
        </w:rPr>
      </w:pPr>
    </w:p>
    <w:p>
      <w:pPr>
        <w:pStyle w:val="Heading1"/>
        <w:spacing w:before="247"/>
        <w:ind w:left="1262"/>
        <w:jc w:val="left"/>
      </w:pPr>
      <w:r>
        <w:rPr/>
        <w:t>JUSTIFICATIVA</w:t>
      </w:r>
    </w:p>
    <w:p>
      <w:pPr>
        <w:pStyle w:val="BodyText"/>
        <w:spacing w:line="360" w:lineRule="auto" w:before="200"/>
        <w:ind w:left="1262" w:right="1274" w:firstLine="1132"/>
        <w:jc w:val="both"/>
      </w:pPr>
      <w:r>
        <w:rPr/>
        <w:t>Trata-se de emenda aditiva que visa suplementar o orçamento da</w:t>
      </w:r>
      <w:r>
        <w:rPr>
          <w:spacing w:val="1"/>
        </w:rPr>
        <w:t> </w:t>
      </w:r>
      <w:r>
        <w:rPr/>
        <w:t>Fundação de Arte de Niterói com o objetivo específico de possibilitar a aquisição</w:t>
      </w:r>
      <w:r>
        <w:rPr>
          <w:spacing w:val="-72"/>
        </w:rPr>
        <w:t> </w:t>
      </w:r>
      <w:r>
        <w:rPr/>
        <w:t>de um piano para o Teatro Municipal de Niterói, ação que não estava prevista</w:t>
      </w:r>
      <w:r>
        <w:rPr>
          <w:spacing w:val="1"/>
        </w:rPr>
        <w:t> </w:t>
      </w:r>
      <w:r>
        <w:rPr/>
        <w:t>inicialmente no orçamento direcionado à Manutenção do Teatro Municipal de</w:t>
      </w:r>
      <w:r>
        <w:rPr>
          <w:spacing w:val="1"/>
        </w:rPr>
        <w:t> </w:t>
      </w:r>
      <w:r>
        <w:rPr/>
        <w:t>Niterói.</w:t>
      </w:r>
    </w:p>
    <w:p>
      <w:pPr>
        <w:pStyle w:val="BodyText"/>
        <w:spacing w:line="360" w:lineRule="auto" w:before="202"/>
        <w:ind w:left="1262" w:right="1276" w:firstLine="1132"/>
        <w:jc w:val="both"/>
      </w:pPr>
      <w:r>
        <w:rPr/>
        <w:t>Com</w:t>
      </w:r>
      <w:r>
        <w:rPr>
          <w:spacing w:val="1"/>
        </w:rPr>
        <w:t> </w:t>
      </w:r>
      <w:r>
        <w:rPr/>
        <w:t>aprovação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emenda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questão,</w:t>
      </w:r>
      <w:r>
        <w:rPr>
          <w:spacing w:val="1"/>
        </w:rPr>
        <w:t> </w:t>
      </w:r>
      <w:r>
        <w:rPr/>
        <w:t>tornar-se-á</w:t>
      </w:r>
      <w:r>
        <w:rPr>
          <w:spacing w:val="1"/>
        </w:rPr>
        <w:t> </w:t>
      </w:r>
      <w:r>
        <w:rPr/>
        <w:t>possível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aquisição e investimentos no Teatro Municipal de Niterói, um patrimônio tão</w:t>
      </w:r>
      <w:r>
        <w:rPr>
          <w:spacing w:val="1"/>
        </w:rPr>
        <w:t> </w:t>
      </w:r>
      <w:r>
        <w:rPr/>
        <w:t>importante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nossa</w:t>
      </w:r>
      <w:r>
        <w:rPr>
          <w:spacing w:val="1"/>
        </w:rPr>
        <w:t> </w:t>
      </w:r>
      <w:r>
        <w:rPr/>
        <w:t>cidade,</w:t>
      </w:r>
      <w:r>
        <w:rPr>
          <w:spacing w:val="1"/>
        </w:rPr>
        <w:t> </w:t>
      </w:r>
      <w:r>
        <w:rPr/>
        <w:t>incrementando</w:t>
      </w:r>
      <w:r>
        <w:rPr>
          <w:spacing w:val="1"/>
        </w:rPr>
        <w:t> </w:t>
      </w:r>
      <w:r>
        <w:rPr/>
        <w:t>as</w:t>
      </w:r>
      <w:r>
        <w:rPr>
          <w:spacing w:val="1"/>
        </w:rPr>
        <w:t> </w:t>
      </w:r>
      <w:r>
        <w:rPr/>
        <w:t>possibilidades</w:t>
      </w:r>
      <w:r>
        <w:rPr>
          <w:spacing w:val="1"/>
        </w:rPr>
        <w:t> </w:t>
      </w:r>
      <w:r>
        <w:rPr/>
        <w:t>culturais</w:t>
      </w:r>
      <w:r>
        <w:rPr>
          <w:spacing w:val="-72"/>
        </w:rPr>
        <w:t> </w:t>
      </w:r>
      <w:r>
        <w:rPr/>
        <w:t>disponíveis e a qualidade de vida do cidadão de Niterói, tornando esse belo</w:t>
      </w:r>
      <w:r>
        <w:rPr>
          <w:spacing w:val="1"/>
        </w:rPr>
        <w:t> </w:t>
      </w:r>
      <w:r>
        <w:rPr/>
        <w:t>espaço</w:t>
      </w:r>
      <w:r>
        <w:rPr>
          <w:spacing w:val="-2"/>
        </w:rPr>
        <w:t> </w:t>
      </w:r>
      <w:r>
        <w:rPr/>
        <w:t>ainda mais atraente</w:t>
      </w:r>
      <w:r>
        <w:rPr>
          <w:spacing w:val="-1"/>
        </w:rPr>
        <w:t> </w:t>
      </w:r>
      <w:r>
        <w:rPr/>
        <w:t>à</w:t>
      </w:r>
      <w:r>
        <w:rPr>
          <w:spacing w:val="1"/>
        </w:rPr>
        <w:t> </w:t>
      </w:r>
      <w:r>
        <w:rPr/>
        <w:t>população</w:t>
      </w:r>
      <w:r>
        <w:rPr>
          <w:spacing w:val="-2"/>
        </w:rPr>
        <w:t> </w:t>
      </w:r>
      <w:r>
        <w:rPr/>
        <w:t>da cidade.</w:t>
      </w:r>
    </w:p>
    <w:sectPr>
      <w:pgSz w:w="11910" w:h="16840"/>
      <w:pgMar w:header="718" w:footer="988" w:top="2940" w:bottom="1180" w:left="440" w:right="4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Tahoma">
    <w:altName w:val="Tahoma"/>
    <w:charset w:val="1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117.339996pt;margin-top:781.515137pt;width:360.55pt;height:26.15pt;mso-position-horizontal-relative:page;mso-position-vertical-relative:page;z-index:-15793152" type="#_x0000_t202" filled="false" stroked="false">
          <v:textbox inset="0,0,0,0">
            <w:txbxContent>
              <w:p>
                <w:pPr>
                  <w:spacing w:before="19"/>
                  <w:ind w:left="2468" w:right="1" w:hanging="2449"/>
                  <w:jc w:val="left"/>
                  <w:rPr>
                    <w:sz w:val="20"/>
                  </w:rPr>
                </w:pPr>
                <w:r>
                  <w:rPr>
                    <w:sz w:val="20"/>
                  </w:rPr>
                  <w:t>Av. Amaral Peixoto, 625 / Gabinete 44 – Centro – Niterói – RJ – CEP: 24.023-900</w:t>
                </w:r>
                <w:r>
                  <w:rPr>
                    <w:spacing w:val="-60"/>
                    <w:sz w:val="20"/>
                  </w:rPr>
                  <w:t> </w:t>
                </w:r>
                <w:r>
                  <w:rPr>
                    <w:sz w:val="20"/>
                  </w:rPr>
                  <w:t>Telefone:</w:t>
                </w:r>
                <w:r>
                  <w:rPr>
                    <w:spacing w:val="-3"/>
                    <w:sz w:val="20"/>
                  </w:rPr>
                  <w:t> </w:t>
                </w:r>
                <w:r>
                  <w:rPr>
                    <w:sz w:val="20"/>
                  </w:rPr>
                  <w:t>(21)</w:t>
                </w:r>
                <w:r>
                  <w:rPr>
                    <w:spacing w:val="-1"/>
                    <w:sz w:val="20"/>
                  </w:rPr>
                  <w:t> </w:t>
                </w:r>
                <w:r>
                  <w:rPr>
                    <w:sz w:val="20"/>
                  </w:rPr>
                  <w:t>2622-2911</w:t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7522304">
          <wp:simplePos x="0" y="0"/>
          <wp:positionH relativeFrom="page">
            <wp:posOffset>1080135</wp:posOffset>
          </wp:positionH>
          <wp:positionV relativeFrom="page">
            <wp:posOffset>455673</wp:posOffset>
          </wp:positionV>
          <wp:extent cx="938784" cy="1127381"/>
          <wp:effectExtent l="0" t="0" r="0" b="0"/>
          <wp:wrapNone/>
          <wp:docPr id="1" name="image1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38784" cy="112738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159.100006pt;margin-top:100.408264pt;width:343.3pt;height:47.9pt;mso-position-horizontal-relative:page;mso-position-vertical-relative:page;z-index:-15793664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b/>
                    <w:sz w:val="48"/>
                  </w:rPr>
                </w:pPr>
                <w:r>
                  <w:rPr>
                    <w:b/>
                    <w:sz w:val="48"/>
                  </w:rPr>
                  <w:t>Câmara</w:t>
                </w:r>
                <w:r>
                  <w:rPr>
                    <w:b/>
                    <w:spacing w:val="-6"/>
                    <w:sz w:val="48"/>
                  </w:rPr>
                  <w:t> </w:t>
                </w:r>
                <w:r>
                  <w:rPr>
                    <w:b/>
                    <w:sz w:val="48"/>
                  </w:rPr>
                  <w:t>Municipal</w:t>
                </w:r>
                <w:r>
                  <w:rPr>
                    <w:b/>
                    <w:spacing w:val="-5"/>
                    <w:sz w:val="48"/>
                  </w:rPr>
                  <w:t> </w:t>
                </w:r>
                <w:r>
                  <w:rPr>
                    <w:b/>
                    <w:sz w:val="48"/>
                  </w:rPr>
                  <w:t>de</w:t>
                </w:r>
                <w:r>
                  <w:rPr>
                    <w:b/>
                    <w:spacing w:val="-3"/>
                    <w:sz w:val="48"/>
                  </w:rPr>
                  <w:t> </w:t>
                </w:r>
                <w:r>
                  <w:rPr>
                    <w:b/>
                    <w:sz w:val="48"/>
                  </w:rPr>
                  <w:t>Niterói</w:t>
                </w:r>
              </w:p>
              <w:p>
                <w:pPr>
                  <w:spacing w:before="0"/>
                  <w:ind w:left="651" w:right="0" w:firstLine="0"/>
                  <w:jc w:val="left"/>
                  <w:rPr>
                    <w:b/>
                    <w:sz w:val="28"/>
                  </w:rPr>
                </w:pPr>
                <w:r>
                  <w:rPr>
                    <w:b/>
                    <w:sz w:val="28"/>
                  </w:rPr>
                  <w:t>Gabinete</w:t>
                </w:r>
                <w:r>
                  <w:rPr>
                    <w:b/>
                    <w:spacing w:val="-2"/>
                    <w:sz w:val="28"/>
                  </w:rPr>
                  <w:t> </w:t>
                </w:r>
                <w:r>
                  <w:rPr>
                    <w:b/>
                    <w:sz w:val="28"/>
                  </w:rPr>
                  <w:t>do</w:t>
                </w:r>
                <w:r>
                  <w:rPr>
                    <w:b/>
                    <w:spacing w:val="-3"/>
                    <w:sz w:val="28"/>
                  </w:rPr>
                  <w:t> </w:t>
                </w:r>
                <w:r>
                  <w:rPr>
                    <w:b/>
                    <w:sz w:val="28"/>
                  </w:rPr>
                  <w:t>Vereador</w:t>
                </w:r>
                <w:r>
                  <w:rPr>
                    <w:b/>
                    <w:spacing w:val="-4"/>
                    <w:sz w:val="28"/>
                  </w:rPr>
                  <w:t> </w:t>
                </w:r>
                <w:r>
                  <w:rPr>
                    <w:b/>
                    <w:sz w:val="28"/>
                  </w:rPr>
                  <w:t>Marcos</w:t>
                </w:r>
                <w:r>
                  <w:rPr>
                    <w:b/>
                    <w:spacing w:val="-3"/>
                    <w:sz w:val="28"/>
                  </w:rPr>
                  <w:t> </w:t>
                </w:r>
                <w:r>
                  <w:rPr>
                    <w:b/>
                    <w:sz w:val="28"/>
                  </w:rPr>
                  <w:t>Sabino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ahoma" w:hAnsi="Tahoma" w:eastAsia="Tahoma" w:cs="Tahoma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ahoma" w:hAnsi="Tahoma" w:eastAsia="Tahoma" w:cs="Tahoma"/>
      <w:sz w:val="24"/>
      <w:szCs w:val="24"/>
      <w:lang w:val="pt-PT" w:eastAsia="en-US" w:bidi="ar-SA"/>
    </w:rPr>
  </w:style>
  <w:style w:styleId="Heading1" w:type="paragraph">
    <w:name w:val="Heading 1"/>
    <w:basedOn w:val="Normal"/>
    <w:uiPriority w:val="1"/>
    <w:qFormat/>
    <w:pPr>
      <w:spacing w:before="1"/>
      <w:jc w:val="center"/>
      <w:outlineLvl w:val="1"/>
    </w:pPr>
    <w:rPr>
      <w:rFonts w:ascii="Tahoma" w:hAnsi="Tahoma" w:eastAsia="Tahoma" w:cs="Tahoma"/>
      <w:b/>
      <w:bCs/>
      <w:sz w:val="24"/>
      <w:szCs w:val="24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20"/>
      <w:ind w:left="20"/>
    </w:pPr>
    <w:rPr>
      <w:rFonts w:ascii="Tahoma" w:hAnsi="Tahoma" w:eastAsia="Tahoma" w:cs="Tahoma"/>
      <w:b/>
      <w:bCs/>
      <w:sz w:val="48"/>
      <w:szCs w:val="48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ahoma" w:hAnsi="Tahoma" w:eastAsia="Tahoma" w:cs="Tahoma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2.png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Carolina Vaz</dc:creator>
  <dcterms:created xsi:type="dcterms:W3CDTF">2022-11-22T17:38:00Z</dcterms:created>
  <dcterms:modified xsi:type="dcterms:W3CDTF">2022-11-22T17:38:00Z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2022-11-22T00:00:00Z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2022-11-22T00:00:00Z</vt:filetime>
  </property>
</Properties>
</file>