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141A2" w14:textId="375253B4" w:rsidR="00574E20" w:rsidRPr="00574E20" w:rsidRDefault="00574E20" w:rsidP="00574E20">
      <w:pPr>
        <w:spacing w:line="360" w:lineRule="auto"/>
        <w:jc w:val="center"/>
        <w:rPr>
          <w:rFonts w:ascii="Tahoma" w:eastAsia="Garamond" w:hAnsi="Tahoma" w:cs="Tahoma"/>
          <w:b/>
          <w:sz w:val="28"/>
          <w:szCs w:val="28"/>
        </w:rPr>
      </w:pPr>
      <w:bookmarkStart w:id="0" w:name="_heading=h.gjdgxs" w:colFirst="0" w:colLast="0"/>
      <w:bookmarkEnd w:id="0"/>
      <w:r w:rsidRPr="00574E20">
        <w:rPr>
          <w:rFonts w:ascii="Tahoma" w:eastAsia="Garamond" w:hAnsi="Tahoma" w:cs="Tahoma"/>
          <w:b/>
          <w:sz w:val="28"/>
          <w:szCs w:val="28"/>
        </w:rPr>
        <w:t xml:space="preserve">PROJETO DE LEI Nº </w:t>
      </w:r>
      <w:r w:rsidRPr="00574E20">
        <w:rPr>
          <w:rFonts w:ascii="Tahoma" w:eastAsia="Garamond" w:hAnsi="Tahoma" w:cs="Tahoma"/>
          <w:b/>
          <w:sz w:val="28"/>
          <w:szCs w:val="28"/>
        </w:rPr>
        <w:t xml:space="preserve"> </w:t>
      </w:r>
      <w:r w:rsidRPr="00574E20">
        <w:rPr>
          <w:rFonts w:ascii="Tahoma" w:eastAsia="Garamond" w:hAnsi="Tahoma" w:cs="Tahoma"/>
          <w:b/>
          <w:sz w:val="28"/>
          <w:szCs w:val="28"/>
        </w:rPr>
        <w:t xml:space="preserve"> /2022</w:t>
      </w:r>
    </w:p>
    <w:p w14:paraId="2E5FD119" w14:textId="77777777" w:rsidR="00574E20" w:rsidRPr="00574E20" w:rsidRDefault="00574E20" w:rsidP="00574E20">
      <w:pPr>
        <w:rPr>
          <w:rFonts w:ascii="Tahoma" w:eastAsia="Garamond" w:hAnsi="Tahoma" w:cs="Tahoma"/>
          <w:szCs w:val="22"/>
        </w:rPr>
      </w:pPr>
    </w:p>
    <w:p w14:paraId="2CE57FA1" w14:textId="5D07D2BB" w:rsidR="00574E20" w:rsidRPr="00574E20" w:rsidRDefault="00574E20" w:rsidP="00E76B56">
      <w:pPr>
        <w:ind w:left="3969"/>
        <w:rPr>
          <w:rFonts w:ascii="Tahoma" w:eastAsia="Garamond" w:hAnsi="Tahoma" w:cs="Tahoma"/>
          <w:b/>
          <w:szCs w:val="22"/>
        </w:rPr>
      </w:pPr>
      <w:r w:rsidRPr="00574E20">
        <w:rPr>
          <w:rFonts w:ascii="Tahoma" w:eastAsia="Garamond" w:hAnsi="Tahoma" w:cs="Tahoma"/>
          <w:b/>
          <w:szCs w:val="22"/>
        </w:rPr>
        <w:t>DISPÕE SOBRE A CRIAÇÃO E IMPLANTAÇÃO DO POLO GASTRONÔMIC</w:t>
      </w:r>
      <w:r>
        <w:rPr>
          <w:rFonts w:ascii="Tahoma" w:eastAsia="Garamond" w:hAnsi="Tahoma" w:cs="Tahoma"/>
          <w:b/>
          <w:szCs w:val="22"/>
        </w:rPr>
        <w:t xml:space="preserve">O </w:t>
      </w:r>
      <w:r w:rsidR="00E76B56">
        <w:rPr>
          <w:rFonts w:ascii="Tahoma" w:eastAsia="Garamond" w:hAnsi="Tahoma" w:cs="Tahoma"/>
          <w:b/>
          <w:szCs w:val="22"/>
        </w:rPr>
        <w:t>DO TREVO</w:t>
      </w:r>
      <w:r>
        <w:rPr>
          <w:rFonts w:ascii="Tahoma" w:eastAsia="Garamond" w:hAnsi="Tahoma" w:cs="Tahoma"/>
          <w:b/>
          <w:szCs w:val="22"/>
        </w:rPr>
        <w:t xml:space="preserve"> PIRATININGA</w:t>
      </w:r>
      <w:r w:rsidRPr="00574E20">
        <w:rPr>
          <w:rFonts w:ascii="Tahoma" w:eastAsia="Garamond" w:hAnsi="Tahoma" w:cs="Tahoma"/>
          <w:b/>
          <w:szCs w:val="22"/>
        </w:rPr>
        <w:t xml:space="preserve"> E DÁ OUTRAS PROVIDÊNCIAS.</w:t>
      </w:r>
    </w:p>
    <w:p w14:paraId="4E4EC5DA" w14:textId="77777777" w:rsidR="000B0F66" w:rsidRDefault="000B0F66" w:rsidP="00574E20">
      <w:pPr>
        <w:rPr>
          <w:rFonts w:ascii="Tahoma" w:hAnsi="Tahoma" w:cs="Tahoma"/>
          <w:color w:val="333333"/>
          <w:sz w:val="24"/>
          <w:szCs w:val="24"/>
          <w:shd w:val="clear" w:color="auto" w:fill="FFFFFF"/>
        </w:rPr>
      </w:pPr>
    </w:p>
    <w:p w14:paraId="719571C2" w14:textId="152993F8" w:rsidR="000B0F66" w:rsidRDefault="000B0F66" w:rsidP="00574E20">
      <w:pPr>
        <w:rPr>
          <w:rFonts w:ascii="Tahoma" w:hAnsi="Tahoma" w:cs="Tahoma"/>
          <w:color w:val="333333"/>
          <w:sz w:val="24"/>
          <w:szCs w:val="24"/>
          <w:shd w:val="clear" w:color="auto" w:fill="FFFFFF"/>
        </w:rPr>
      </w:pPr>
      <w:r w:rsidRPr="000B0F66">
        <w:rPr>
          <w:rFonts w:ascii="Tahoma" w:hAnsi="Tahoma" w:cs="Tahoma"/>
          <w:b/>
          <w:bCs/>
          <w:color w:val="333333"/>
          <w:sz w:val="24"/>
          <w:szCs w:val="24"/>
          <w:shd w:val="clear" w:color="auto" w:fill="FFFFFF"/>
        </w:rPr>
        <w:t>Art. 1º.</w:t>
      </w:r>
      <w:r>
        <w:rPr>
          <w:rFonts w:ascii="Tahoma" w:hAnsi="Tahoma" w:cs="Tahoma"/>
          <w:color w:val="333333"/>
          <w:sz w:val="24"/>
          <w:szCs w:val="24"/>
          <w:shd w:val="clear" w:color="auto" w:fill="FFFFFF"/>
        </w:rPr>
        <w:t xml:space="preserve"> </w:t>
      </w:r>
      <w:r w:rsidRPr="000B0F66">
        <w:rPr>
          <w:rFonts w:ascii="Tahoma" w:hAnsi="Tahoma" w:cs="Tahoma"/>
          <w:color w:val="333333"/>
          <w:sz w:val="24"/>
          <w:szCs w:val="24"/>
          <w:shd w:val="clear" w:color="auto" w:fill="FFFFFF"/>
        </w:rPr>
        <w:t>Fica incluído no Parágrafo único do art. 110 da Lei </w:t>
      </w:r>
      <w:hyperlink r:id="rId8" w:history="1">
        <w:r w:rsidRPr="000B0F66">
          <w:rPr>
            <w:rStyle w:val="Hyperlink"/>
            <w:rFonts w:ascii="Tahoma" w:hAnsi="Tahoma" w:cs="Tahoma"/>
            <w:color w:val="B94A48"/>
            <w:sz w:val="24"/>
            <w:szCs w:val="24"/>
            <w:shd w:val="clear" w:color="auto" w:fill="FFFFFF"/>
          </w:rPr>
          <w:t>2.624</w:t>
        </w:r>
      </w:hyperlink>
      <w:r w:rsidRPr="000B0F66">
        <w:rPr>
          <w:rFonts w:ascii="Tahoma" w:hAnsi="Tahoma" w:cs="Tahoma"/>
          <w:color w:val="333333"/>
          <w:sz w:val="24"/>
          <w:szCs w:val="24"/>
          <w:shd w:val="clear" w:color="auto" w:fill="FFFFFF"/>
        </w:rPr>
        <w:t xml:space="preserve"> de 29 de dezembro de 2008 - Código de Posturas do Município de Niterói, o inciso </w:t>
      </w:r>
      <w:r w:rsidR="002933C0">
        <w:rPr>
          <w:rFonts w:ascii="Tahoma" w:hAnsi="Tahoma" w:cs="Tahoma"/>
          <w:color w:val="333333"/>
          <w:sz w:val="24"/>
          <w:szCs w:val="24"/>
          <w:shd w:val="clear" w:color="auto" w:fill="FFFFFF"/>
        </w:rPr>
        <w:t>VIII</w:t>
      </w:r>
      <w:r w:rsidRPr="000B0F66">
        <w:rPr>
          <w:rFonts w:ascii="Tahoma" w:hAnsi="Tahoma" w:cs="Tahoma"/>
          <w:color w:val="333333"/>
          <w:sz w:val="24"/>
          <w:szCs w:val="24"/>
          <w:shd w:val="clear" w:color="auto" w:fill="FFFFFF"/>
        </w:rPr>
        <w:t xml:space="preserve"> com a seguinte redação:</w:t>
      </w:r>
    </w:p>
    <w:p w14:paraId="718CDB9F" w14:textId="42F119FC" w:rsidR="00E07A2F" w:rsidRPr="004644AB" w:rsidRDefault="000B0F66" w:rsidP="00574E20">
      <w:pPr>
        <w:rPr>
          <w:rFonts w:ascii="Tahoma" w:hAnsi="Tahoma" w:cs="Tahoma"/>
          <w:i/>
          <w:iCs/>
          <w:color w:val="333333"/>
          <w:szCs w:val="22"/>
          <w:shd w:val="clear" w:color="auto" w:fill="FFFFFF"/>
        </w:rPr>
      </w:pPr>
      <w:r w:rsidRPr="000B0F66">
        <w:rPr>
          <w:rFonts w:ascii="Tahoma" w:hAnsi="Tahoma" w:cs="Tahoma"/>
          <w:color w:val="333333"/>
          <w:sz w:val="24"/>
          <w:szCs w:val="24"/>
        </w:rPr>
        <w:br/>
      </w:r>
      <w:r w:rsidRPr="004644AB">
        <w:rPr>
          <w:rFonts w:ascii="Tahoma" w:hAnsi="Tahoma" w:cs="Tahoma"/>
          <w:i/>
          <w:iCs/>
          <w:color w:val="333333"/>
          <w:szCs w:val="22"/>
          <w:shd w:val="clear" w:color="auto" w:fill="FFFFFF"/>
        </w:rPr>
        <w:t xml:space="preserve">"Art. 110. </w:t>
      </w:r>
      <w:r w:rsidR="00E07A2F" w:rsidRPr="004644AB">
        <w:rPr>
          <w:rFonts w:ascii="Tahoma" w:hAnsi="Tahoma" w:cs="Tahoma"/>
          <w:i/>
          <w:iCs/>
          <w:color w:val="333333"/>
          <w:szCs w:val="22"/>
          <w:shd w:val="clear" w:color="auto" w:fill="FFFFFF"/>
        </w:rPr>
        <w:t>Os logradouros públicos reconhecidos oficialmente, pela Administração Municipal como de interesse turístico, cultural ou gastronômico, poderão ter tratamento especial quanto à ocupação e uso do mobiliário urbano, conforme regulamentação específica.</w:t>
      </w:r>
    </w:p>
    <w:p w14:paraId="29E98A73" w14:textId="24A8D968" w:rsidR="00E07A2F" w:rsidRPr="004644AB" w:rsidRDefault="00E07A2F" w:rsidP="00574E20">
      <w:pPr>
        <w:rPr>
          <w:rFonts w:ascii="Tahoma" w:hAnsi="Tahoma" w:cs="Tahoma"/>
          <w:i/>
          <w:iCs/>
          <w:color w:val="333333"/>
          <w:szCs w:val="22"/>
          <w:shd w:val="clear" w:color="auto" w:fill="FFFFFF"/>
        </w:rPr>
      </w:pPr>
      <w:r w:rsidRPr="004644AB">
        <w:rPr>
          <w:rFonts w:ascii="Tahoma" w:hAnsi="Tahoma" w:cs="Tahoma"/>
          <w:i/>
          <w:iCs/>
          <w:color w:val="333333"/>
          <w:szCs w:val="22"/>
          <w:shd w:val="clear" w:color="auto" w:fill="FFFFFF"/>
        </w:rPr>
        <w:t>Parágrafo Único - Ficam definidos na forma do caput deste artigo os seguintes logradouros abaixo, podendo o Poder Executivo criar, por Decreto, novos locais de interesse turístico, cultural ou gastronômico:</w:t>
      </w:r>
    </w:p>
    <w:p w14:paraId="7D1C1C93" w14:textId="176A6B83" w:rsidR="002933C0" w:rsidRPr="004644AB" w:rsidRDefault="000B0F66" w:rsidP="00574E20">
      <w:pPr>
        <w:rPr>
          <w:rFonts w:ascii="Tahoma" w:hAnsi="Tahoma" w:cs="Tahoma"/>
          <w:i/>
          <w:iCs/>
          <w:color w:val="333333"/>
          <w:szCs w:val="22"/>
          <w:shd w:val="clear" w:color="auto" w:fill="FFFFFF"/>
        </w:rPr>
      </w:pPr>
      <w:r w:rsidRPr="004644AB">
        <w:rPr>
          <w:rFonts w:ascii="Tahoma" w:hAnsi="Tahoma" w:cs="Tahoma"/>
          <w:i/>
          <w:iCs/>
          <w:color w:val="333333"/>
          <w:szCs w:val="22"/>
        </w:rPr>
        <w:br/>
      </w:r>
      <w:r w:rsidRPr="004644AB">
        <w:rPr>
          <w:rFonts w:ascii="Tahoma" w:hAnsi="Tahoma" w:cs="Tahoma"/>
          <w:i/>
          <w:iCs/>
          <w:color w:val="333333"/>
          <w:szCs w:val="22"/>
          <w:shd w:val="clear" w:color="auto" w:fill="FFFFFF"/>
        </w:rPr>
        <w:t>(...)</w:t>
      </w:r>
      <w:r w:rsidRPr="004644AB">
        <w:rPr>
          <w:rFonts w:ascii="Tahoma" w:hAnsi="Tahoma" w:cs="Tahoma"/>
          <w:i/>
          <w:iCs/>
          <w:color w:val="333333"/>
          <w:szCs w:val="22"/>
        </w:rPr>
        <w:br/>
      </w:r>
      <w:r w:rsidRPr="004644AB">
        <w:rPr>
          <w:rFonts w:ascii="Tahoma" w:hAnsi="Tahoma" w:cs="Tahoma"/>
          <w:i/>
          <w:iCs/>
          <w:color w:val="333333"/>
          <w:szCs w:val="22"/>
        </w:rPr>
        <w:br/>
      </w:r>
      <w:r w:rsidRPr="004644AB">
        <w:rPr>
          <w:rFonts w:ascii="Tahoma" w:hAnsi="Tahoma" w:cs="Tahoma"/>
          <w:b/>
          <w:bCs/>
          <w:i/>
          <w:iCs/>
          <w:color w:val="333333"/>
          <w:szCs w:val="22"/>
          <w:shd w:val="clear" w:color="auto" w:fill="FFFFFF"/>
        </w:rPr>
        <w:t xml:space="preserve">VIII </w:t>
      </w:r>
      <w:r w:rsidRPr="004644AB">
        <w:rPr>
          <w:rFonts w:ascii="Tahoma" w:hAnsi="Tahoma" w:cs="Tahoma"/>
          <w:b/>
          <w:bCs/>
          <w:i/>
          <w:iCs/>
          <w:color w:val="333333"/>
          <w:szCs w:val="22"/>
          <w:shd w:val="clear" w:color="auto" w:fill="FFFFFF"/>
        </w:rPr>
        <w:t>–</w:t>
      </w:r>
      <w:r w:rsidRPr="004644AB">
        <w:rPr>
          <w:rFonts w:ascii="Tahoma" w:hAnsi="Tahoma" w:cs="Tahoma"/>
          <w:b/>
          <w:bCs/>
          <w:i/>
          <w:iCs/>
          <w:color w:val="333333"/>
          <w:szCs w:val="22"/>
          <w:shd w:val="clear" w:color="auto" w:fill="FFFFFF"/>
        </w:rPr>
        <w:t xml:space="preserve"> </w:t>
      </w:r>
      <w:r w:rsidRPr="004644AB">
        <w:rPr>
          <w:rFonts w:ascii="Tahoma" w:hAnsi="Tahoma" w:cs="Tahoma"/>
          <w:b/>
          <w:bCs/>
          <w:i/>
          <w:iCs/>
          <w:color w:val="333333"/>
          <w:szCs w:val="22"/>
          <w:shd w:val="clear" w:color="auto" w:fill="FFFFFF"/>
        </w:rPr>
        <w:t xml:space="preserve">a Avenida </w:t>
      </w:r>
      <w:r w:rsidR="00E07A2F" w:rsidRPr="004644AB">
        <w:rPr>
          <w:rFonts w:ascii="Tahoma" w:hAnsi="Tahoma" w:cs="Tahoma"/>
          <w:b/>
          <w:bCs/>
          <w:i/>
          <w:iCs/>
          <w:color w:val="333333"/>
          <w:szCs w:val="22"/>
          <w:shd w:val="clear" w:color="auto" w:fill="FFFFFF"/>
        </w:rPr>
        <w:t>A</w:t>
      </w:r>
      <w:r w:rsidRPr="004644AB">
        <w:rPr>
          <w:rFonts w:ascii="Tahoma" w:hAnsi="Tahoma" w:cs="Tahoma"/>
          <w:b/>
          <w:bCs/>
          <w:i/>
          <w:iCs/>
          <w:color w:val="333333"/>
          <w:szCs w:val="22"/>
          <w:shd w:val="clear" w:color="auto" w:fill="FFFFFF"/>
        </w:rPr>
        <w:t xml:space="preserve">lmirante </w:t>
      </w:r>
      <w:r w:rsidR="00E07A2F" w:rsidRPr="004644AB">
        <w:rPr>
          <w:rFonts w:ascii="Tahoma" w:hAnsi="Tahoma" w:cs="Tahoma"/>
          <w:b/>
          <w:bCs/>
          <w:i/>
          <w:iCs/>
          <w:color w:val="333333"/>
          <w:szCs w:val="22"/>
          <w:shd w:val="clear" w:color="auto" w:fill="FFFFFF"/>
        </w:rPr>
        <w:t>T</w:t>
      </w:r>
      <w:r w:rsidRPr="004644AB">
        <w:rPr>
          <w:rFonts w:ascii="Tahoma" w:hAnsi="Tahoma" w:cs="Tahoma"/>
          <w:b/>
          <w:bCs/>
          <w:i/>
          <w:iCs/>
          <w:color w:val="333333"/>
          <w:szCs w:val="22"/>
          <w:shd w:val="clear" w:color="auto" w:fill="FFFFFF"/>
        </w:rPr>
        <w:t>amandaré, em Piratin</w:t>
      </w:r>
      <w:r w:rsidR="00E07A2F" w:rsidRPr="004644AB">
        <w:rPr>
          <w:rFonts w:ascii="Tahoma" w:hAnsi="Tahoma" w:cs="Tahoma"/>
          <w:b/>
          <w:bCs/>
          <w:i/>
          <w:iCs/>
          <w:color w:val="333333"/>
          <w:szCs w:val="22"/>
          <w:shd w:val="clear" w:color="auto" w:fill="FFFFFF"/>
        </w:rPr>
        <w:t>in</w:t>
      </w:r>
      <w:r w:rsidRPr="004644AB">
        <w:rPr>
          <w:rFonts w:ascii="Tahoma" w:hAnsi="Tahoma" w:cs="Tahoma"/>
          <w:b/>
          <w:bCs/>
          <w:i/>
          <w:iCs/>
          <w:color w:val="333333"/>
          <w:szCs w:val="22"/>
          <w:shd w:val="clear" w:color="auto" w:fill="FFFFFF"/>
        </w:rPr>
        <w:t xml:space="preserve">ga, no trecho entre </w:t>
      </w:r>
      <w:r w:rsidR="00E07A2F" w:rsidRPr="004644AB">
        <w:rPr>
          <w:rFonts w:ascii="Tahoma" w:hAnsi="Tahoma" w:cs="Tahoma"/>
          <w:b/>
          <w:bCs/>
          <w:i/>
          <w:iCs/>
          <w:color w:val="333333"/>
          <w:szCs w:val="22"/>
          <w:shd w:val="clear" w:color="auto" w:fill="FFFFFF"/>
        </w:rPr>
        <w:t xml:space="preserve">a rotatória de </w:t>
      </w:r>
      <w:proofErr w:type="spellStart"/>
      <w:r w:rsidR="00E07A2F" w:rsidRPr="004644AB">
        <w:rPr>
          <w:rFonts w:ascii="Tahoma" w:hAnsi="Tahoma" w:cs="Tahoma"/>
          <w:b/>
          <w:bCs/>
          <w:i/>
          <w:iCs/>
          <w:color w:val="333333"/>
          <w:szCs w:val="22"/>
          <w:shd w:val="clear" w:color="auto" w:fill="FFFFFF"/>
        </w:rPr>
        <w:t>Camboinhas</w:t>
      </w:r>
      <w:proofErr w:type="spellEnd"/>
      <w:r w:rsidR="00E07A2F" w:rsidRPr="004644AB">
        <w:rPr>
          <w:rFonts w:ascii="Tahoma" w:hAnsi="Tahoma" w:cs="Tahoma"/>
          <w:b/>
          <w:bCs/>
          <w:i/>
          <w:iCs/>
          <w:color w:val="333333"/>
          <w:szCs w:val="22"/>
          <w:shd w:val="clear" w:color="auto" w:fill="FFFFFF"/>
        </w:rPr>
        <w:t xml:space="preserve"> e a praça Santa Paulina, incluindo o polígono formado pela Rua Professor Ernani Faria Alves e a Avenida Dr. Raul de Oliveira Rodrigues</w:t>
      </w:r>
      <w:r w:rsidR="002933C0" w:rsidRPr="004644AB">
        <w:rPr>
          <w:rFonts w:ascii="Tahoma" w:hAnsi="Tahoma" w:cs="Tahoma"/>
          <w:b/>
          <w:bCs/>
          <w:i/>
          <w:iCs/>
          <w:color w:val="333333"/>
          <w:szCs w:val="22"/>
          <w:shd w:val="clear" w:color="auto" w:fill="FFFFFF"/>
        </w:rPr>
        <w:t>.</w:t>
      </w:r>
    </w:p>
    <w:p w14:paraId="26A5B2A0" w14:textId="2DFE7F67" w:rsidR="00CC76FE" w:rsidRPr="000B0F66" w:rsidRDefault="000B0F66" w:rsidP="00574E20">
      <w:pPr>
        <w:rPr>
          <w:rFonts w:ascii="Tahoma" w:hAnsi="Tahoma" w:cs="Tahoma"/>
          <w:sz w:val="24"/>
          <w:szCs w:val="24"/>
        </w:rPr>
      </w:pPr>
      <w:r w:rsidRPr="000B0F66">
        <w:rPr>
          <w:rFonts w:ascii="Tahoma" w:hAnsi="Tahoma" w:cs="Tahoma"/>
          <w:i/>
          <w:iCs/>
          <w:color w:val="333333"/>
          <w:sz w:val="24"/>
          <w:szCs w:val="24"/>
          <w:shd w:val="clear" w:color="auto" w:fill="FFFFFF"/>
        </w:rPr>
        <w:t xml:space="preserve"> </w:t>
      </w:r>
      <w:r w:rsidRPr="000B0F66">
        <w:rPr>
          <w:rFonts w:ascii="Tahoma" w:hAnsi="Tahoma" w:cs="Tahoma"/>
          <w:color w:val="333333"/>
          <w:sz w:val="24"/>
          <w:szCs w:val="24"/>
        </w:rPr>
        <w:br/>
      </w:r>
      <w:r w:rsidRPr="000B0F66">
        <w:rPr>
          <w:rFonts w:ascii="Tahoma" w:hAnsi="Tahoma" w:cs="Tahoma"/>
          <w:color w:val="333333"/>
          <w:sz w:val="24"/>
          <w:szCs w:val="24"/>
        </w:rPr>
        <w:br/>
      </w:r>
      <w:r w:rsidRPr="000B0F66">
        <w:rPr>
          <w:rFonts w:ascii="Tahoma" w:hAnsi="Tahoma" w:cs="Tahoma"/>
          <w:b/>
          <w:bCs/>
          <w:color w:val="333333"/>
          <w:sz w:val="24"/>
          <w:szCs w:val="24"/>
          <w:shd w:val="clear" w:color="auto" w:fill="FFFFFF"/>
        </w:rPr>
        <w:t>Art. 2º.</w:t>
      </w:r>
      <w:r>
        <w:rPr>
          <w:rFonts w:ascii="Tahoma" w:hAnsi="Tahoma" w:cs="Tahoma"/>
          <w:color w:val="333333"/>
          <w:sz w:val="24"/>
          <w:szCs w:val="24"/>
          <w:shd w:val="clear" w:color="auto" w:fill="FFFFFF"/>
        </w:rPr>
        <w:t xml:space="preserve"> </w:t>
      </w:r>
      <w:r w:rsidRPr="000B0F66">
        <w:rPr>
          <w:rFonts w:ascii="Tahoma" w:hAnsi="Tahoma" w:cs="Tahoma"/>
          <w:color w:val="333333"/>
          <w:sz w:val="24"/>
          <w:szCs w:val="24"/>
          <w:shd w:val="clear" w:color="auto" w:fill="FFFFFF"/>
        </w:rPr>
        <w:t>Esta Lei entrar em vigor na data de sua publicação.</w:t>
      </w:r>
    </w:p>
    <w:p w14:paraId="0C817645" w14:textId="3992DC43" w:rsidR="000B0F66" w:rsidRDefault="000B0F66">
      <w:pPr>
        <w:rPr>
          <w:rFonts w:ascii="Tahoma" w:hAnsi="Tahoma" w:cs="Tahoma"/>
          <w:sz w:val="24"/>
          <w:szCs w:val="24"/>
        </w:rPr>
      </w:pPr>
    </w:p>
    <w:p w14:paraId="5218D772" w14:textId="048BC8CC" w:rsidR="002933C0" w:rsidRDefault="002933C0" w:rsidP="002933C0">
      <w:pPr>
        <w:jc w:val="right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Sala de Sessões, 16 de novembro de 2022</w:t>
      </w:r>
    </w:p>
    <w:p w14:paraId="1E021663" w14:textId="77777777" w:rsidR="002933C0" w:rsidRDefault="002933C0">
      <w:pPr>
        <w:rPr>
          <w:rFonts w:ascii="Tahoma" w:hAnsi="Tahoma" w:cs="Tahoma"/>
          <w:sz w:val="24"/>
          <w:szCs w:val="24"/>
        </w:rPr>
      </w:pPr>
    </w:p>
    <w:p w14:paraId="61C0351D" w14:textId="12B4942C" w:rsidR="002933C0" w:rsidRPr="002933C0" w:rsidRDefault="002933C0" w:rsidP="002933C0">
      <w:pPr>
        <w:jc w:val="center"/>
        <w:rPr>
          <w:rFonts w:ascii="Tahoma" w:hAnsi="Tahoma" w:cs="Tahoma"/>
          <w:b/>
          <w:bCs/>
          <w:sz w:val="24"/>
          <w:szCs w:val="24"/>
        </w:rPr>
      </w:pPr>
      <w:r w:rsidRPr="002933C0">
        <w:rPr>
          <w:rFonts w:ascii="Tahoma" w:hAnsi="Tahoma" w:cs="Tahoma"/>
          <w:b/>
          <w:bCs/>
          <w:sz w:val="24"/>
          <w:szCs w:val="24"/>
        </w:rPr>
        <w:t>BINHO GUIMARÃES</w:t>
      </w:r>
    </w:p>
    <w:p w14:paraId="34A505A5" w14:textId="039620ED" w:rsidR="002933C0" w:rsidRDefault="002933C0" w:rsidP="002933C0">
      <w:pPr>
        <w:jc w:val="center"/>
        <w:rPr>
          <w:rFonts w:ascii="Tahoma" w:hAnsi="Tahoma" w:cs="Tahoma"/>
          <w:b/>
          <w:bCs/>
          <w:sz w:val="24"/>
          <w:szCs w:val="24"/>
        </w:rPr>
      </w:pPr>
      <w:r w:rsidRPr="002933C0">
        <w:rPr>
          <w:rFonts w:ascii="Tahoma" w:hAnsi="Tahoma" w:cs="Tahoma"/>
          <w:b/>
          <w:bCs/>
          <w:sz w:val="24"/>
          <w:szCs w:val="24"/>
        </w:rPr>
        <w:t xml:space="preserve">Vereador </w:t>
      </w:r>
    </w:p>
    <w:p w14:paraId="03143EB1" w14:textId="77777777" w:rsidR="004644AB" w:rsidRDefault="004644AB" w:rsidP="002F6ACE">
      <w:pPr>
        <w:rPr>
          <w:rFonts w:ascii="Tahoma" w:hAnsi="Tahoma" w:cs="Tahoma"/>
          <w:b/>
          <w:bCs/>
          <w:sz w:val="24"/>
          <w:szCs w:val="24"/>
        </w:rPr>
      </w:pPr>
    </w:p>
    <w:p w14:paraId="03CA3588" w14:textId="79F9E6B2" w:rsidR="002F6ACE" w:rsidRDefault="002F6ACE" w:rsidP="002F6ACE">
      <w:pPr>
        <w:rPr>
          <w:rFonts w:ascii="Tahoma" w:hAnsi="Tahoma" w:cs="Tahoma"/>
          <w:b/>
          <w:bCs/>
          <w:sz w:val="24"/>
          <w:szCs w:val="24"/>
        </w:rPr>
      </w:pPr>
      <w:r w:rsidRPr="002F6ACE">
        <w:rPr>
          <w:rFonts w:ascii="Tahoma" w:hAnsi="Tahoma" w:cs="Tahoma"/>
          <w:b/>
          <w:bCs/>
          <w:sz w:val="24"/>
          <w:szCs w:val="24"/>
        </w:rPr>
        <w:lastRenderedPageBreak/>
        <w:t>JUSTIFICATIVA</w:t>
      </w:r>
    </w:p>
    <w:p w14:paraId="28AA6A05" w14:textId="2CB21C7B" w:rsidR="002F6ACE" w:rsidRDefault="002F6ACE" w:rsidP="002F6ACE">
      <w:pPr>
        <w:rPr>
          <w:rFonts w:ascii="Tahoma" w:hAnsi="Tahoma" w:cs="Tahoma"/>
          <w:b/>
          <w:bCs/>
          <w:sz w:val="24"/>
          <w:szCs w:val="24"/>
        </w:rPr>
      </w:pPr>
    </w:p>
    <w:p w14:paraId="47FB6C48" w14:textId="27F2775D" w:rsidR="002F6ACE" w:rsidRDefault="00DB71AE" w:rsidP="00DB71AE">
      <w:pPr>
        <w:spacing w:line="360" w:lineRule="auto"/>
        <w:ind w:firstLine="1134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A criação de polos gastronômicos t</w:t>
      </w:r>
      <w:r w:rsidR="00E801D5">
        <w:rPr>
          <w:rFonts w:ascii="Tahoma" w:hAnsi="Tahoma" w:cs="Tahoma"/>
          <w:sz w:val="24"/>
          <w:szCs w:val="24"/>
        </w:rPr>
        <w:t>e</w:t>
      </w:r>
      <w:r>
        <w:rPr>
          <w:rFonts w:ascii="Tahoma" w:hAnsi="Tahoma" w:cs="Tahoma"/>
          <w:sz w:val="24"/>
          <w:szCs w:val="24"/>
        </w:rPr>
        <w:t xml:space="preserve">m se mostrado muito efetiva como instrumento de estímulo, arrecadação e desenvolvimento </w:t>
      </w:r>
      <w:r w:rsidR="00A114B7">
        <w:rPr>
          <w:rFonts w:ascii="Tahoma" w:hAnsi="Tahoma" w:cs="Tahoma"/>
          <w:sz w:val="24"/>
          <w:szCs w:val="24"/>
        </w:rPr>
        <w:t>regiona</w:t>
      </w:r>
      <w:r w:rsidR="002403E0">
        <w:rPr>
          <w:rFonts w:ascii="Tahoma" w:hAnsi="Tahoma" w:cs="Tahoma"/>
          <w:sz w:val="24"/>
          <w:szCs w:val="24"/>
        </w:rPr>
        <w:t>l</w:t>
      </w:r>
      <w:r w:rsidR="00A114B7">
        <w:rPr>
          <w:rFonts w:ascii="Tahoma" w:hAnsi="Tahoma" w:cs="Tahoma"/>
          <w:sz w:val="24"/>
          <w:szCs w:val="24"/>
        </w:rPr>
        <w:t xml:space="preserve">, pois permite aos comerciantes e empresários o investimento em áreas específicas e a criação de dinâmicas aptas a atrair o público da cidade, </w:t>
      </w:r>
      <w:r w:rsidR="00E801D5">
        <w:rPr>
          <w:rFonts w:ascii="Tahoma" w:hAnsi="Tahoma" w:cs="Tahoma"/>
          <w:sz w:val="24"/>
          <w:szCs w:val="24"/>
        </w:rPr>
        <w:t xml:space="preserve">atraindo um </w:t>
      </w:r>
      <w:r w:rsidR="00A114B7">
        <w:rPr>
          <w:rFonts w:ascii="Tahoma" w:hAnsi="Tahoma" w:cs="Tahoma"/>
          <w:sz w:val="24"/>
          <w:szCs w:val="24"/>
        </w:rPr>
        <w:t xml:space="preserve">maior fluxo de pessoas para determinados espaços. </w:t>
      </w:r>
    </w:p>
    <w:p w14:paraId="3B6182DF" w14:textId="1BDA012E" w:rsidR="00A114B7" w:rsidRDefault="00A114B7" w:rsidP="00DB71AE">
      <w:pPr>
        <w:spacing w:line="360" w:lineRule="auto"/>
        <w:ind w:firstLine="1134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Nesse sentido, o nosso Código de Posturas regulamenta tais </w:t>
      </w:r>
      <w:r w:rsidR="00E801D5">
        <w:rPr>
          <w:rFonts w:ascii="Tahoma" w:hAnsi="Tahoma" w:cs="Tahoma"/>
          <w:sz w:val="24"/>
          <w:szCs w:val="24"/>
        </w:rPr>
        <w:t xml:space="preserve">polos </w:t>
      </w:r>
      <w:r>
        <w:rPr>
          <w:rFonts w:ascii="Tahoma" w:hAnsi="Tahoma" w:cs="Tahoma"/>
          <w:sz w:val="24"/>
          <w:szCs w:val="24"/>
        </w:rPr>
        <w:t>em seu artigo 110 e os distribui por vários pontos da cidade</w:t>
      </w:r>
      <w:r w:rsidR="002403E0">
        <w:rPr>
          <w:rFonts w:ascii="Tahoma" w:hAnsi="Tahoma" w:cs="Tahoma"/>
          <w:sz w:val="24"/>
          <w:szCs w:val="24"/>
        </w:rPr>
        <w:t xml:space="preserve"> de forma a atrair </w:t>
      </w:r>
      <w:r w:rsidR="00E801D5">
        <w:rPr>
          <w:rFonts w:ascii="Tahoma" w:hAnsi="Tahoma" w:cs="Tahoma"/>
          <w:sz w:val="24"/>
          <w:szCs w:val="24"/>
        </w:rPr>
        <w:t xml:space="preserve">o consumo e o desenvolvimento de forma ampla. </w:t>
      </w:r>
    </w:p>
    <w:p w14:paraId="7E079845" w14:textId="77777777" w:rsidR="00E801D5" w:rsidRDefault="00E801D5" w:rsidP="00DB71AE">
      <w:pPr>
        <w:spacing w:line="360" w:lineRule="auto"/>
        <w:ind w:firstLine="1134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Ocorre que</w:t>
      </w:r>
      <w:r w:rsidR="002403E0">
        <w:rPr>
          <w:rFonts w:ascii="Tahoma" w:hAnsi="Tahoma" w:cs="Tahoma"/>
          <w:sz w:val="24"/>
          <w:szCs w:val="24"/>
        </w:rPr>
        <w:t>,</w:t>
      </w:r>
      <w:r>
        <w:rPr>
          <w:rFonts w:ascii="Tahoma" w:hAnsi="Tahoma" w:cs="Tahoma"/>
          <w:sz w:val="24"/>
          <w:szCs w:val="24"/>
        </w:rPr>
        <w:t xml:space="preserve"> apesar do sucesso da medida, existem regiões da cidade que ainda não possuem os referidos polos, em especial locais que já possuem uma tradição em possuir bares, restaurante e um grande fluxo de pessoas. </w:t>
      </w:r>
    </w:p>
    <w:p w14:paraId="75455F6F" w14:textId="1889CFE9" w:rsidR="004644AB" w:rsidRDefault="00E801D5" w:rsidP="00DB71AE">
      <w:pPr>
        <w:spacing w:line="360" w:lineRule="auto"/>
        <w:ind w:firstLine="1134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Assim sendo, o referido projeto lei, ao criar o Polo </w:t>
      </w:r>
      <w:r w:rsidR="004644AB">
        <w:rPr>
          <w:rFonts w:ascii="Tahoma" w:hAnsi="Tahoma" w:cs="Tahoma"/>
          <w:sz w:val="24"/>
          <w:szCs w:val="24"/>
        </w:rPr>
        <w:t>Gastronômico</w:t>
      </w:r>
      <w:r>
        <w:rPr>
          <w:rFonts w:ascii="Tahoma" w:hAnsi="Tahoma" w:cs="Tahoma"/>
          <w:sz w:val="24"/>
          <w:szCs w:val="24"/>
        </w:rPr>
        <w:t xml:space="preserve"> d</w:t>
      </w:r>
      <w:r w:rsidR="004644AB">
        <w:rPr>
          <w:rFonts w:ascii="Tahoma" w:hAnsi="Tahoma" w:cs="Tahoma"/>
          <w:sz w:val="24"/>
          <w:szCs w:val="24"/>
        </w:rPr>
        <w:t xml:space="preserve">o Trevo de </w:t>
      </w:r>
      <w:r>
        <w:rPr>
          <w:rFonts w:ascii="Tahoma" w:hAnsi="Tahoma" w:cs="Tahoma"/>
          <w:sz w:val="24"/>
          <w:szCs w:val="24"/>
        </w:rPr>
        <w:t>Piratininga visa suprir ess</w:t>
      </w:r>
      <w:r w:rsidR="004644AB">
        <w:rPr>
          <w:rFonts w:ascii="Tahoma" w:hAnsi="Tahoma" w:cs="Tahoma"/>
          <w:sz w:val="24"/>
          <w:szCs w:val="24"/>
        </w:rPr>
        <w:t xml:space="preserve">a lacuna e possibilitar um desenvolvimento e crescimento ordenado da região em questão. </w:t>
      </w:r>
    </w:p>
    <w:p w14:paraId="150E15E1" w14:textId="2593A373" w:rsidR="002403E0" w:rsidRDefault="004644AB" w:rsidP="00DB71AE">
      <w:pPr>
        <w:spacing w:line="360" w:lineRule="auto"/>
        <w:ind w:firstLine="1134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Conto com o apoio desta E. Casa Legislativa para a aprovação de mais uma medida visando o aprimoramento e crescimento econômico de Niterói.</w:t>
      </w:r>
    </w:p>
    <w:p w14:paraId="2BF24520" w14:textId="0852A802" w:rsidR="004644AB" w:rsidRDefault="004644AB" w:rsidP="00DB71AE">
      <w:pPr>
        <w:spacing w:line="360" w:lineRule="auto"/>
        <w:ind w:firstLine="1134"/>
        <w:rPr>
          <w:rFonts w:ascii="Tahoma" w:hAnsi="Tahoma" w:cs="Tahoma"/>
          <w:sz w:val="24"/>
          <w:szCs w:val="24"/>
        </w:rPr>
      </w:pPr>
    </w:p>
    <w:p w14:paraId="6603FDDC" w14:textId="05298150" w:rsidR="004644AB" w:rsidRPr="00DB71AE" w:rsidRDefault="004644AB" w:rsidP="004644AB">
      <w:pPr>
        <w:spacing w:line="360" w:lineRule="auto"/>
        <w:ind w:firstLine="1134"/>
        <w:jc w:val="right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Sala de Sessões, 16 de novembro de 2022.</w:t>
      </w:r>
    </w:p>
    <w:sectPr w:rsidR="004644AB" w:rsidRPr="00DB71AE" w:rsidSect="00CC76FE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CA3341" w14:textId="77777777" w:rsidR="00CB5F47" w:rsidRDefault="00CB5F47" w:rsidP="00CC76FE">
      <w:pPr>
        <w:spacing w:before="0" w:after="0"/>
      </w:pPr>
      <w:r>
        <w:separator/>
      </w:r>
    </w:p>
  </w:endnote>
  <w:endnote w:type="continuationSeparator" w:id="0">
    <w:p w14:paraId="12CC2446" w14:textId="77777777" w:rsidR="00CB5F47" w:rsidRDefault="00CB5F47" w:rsidP="00CC76FE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9579A" w14:textId="77777777" w:rsidR="000738A9" w:rsidRPr="00DB71AE" w:rsidRDefault="000738A9" w:rsidP="000738A9">
    <w:pPr>
      <w:pStyle w:val="Rodap"/>
      <w:jc w:val="center"/>
      <w:rPr>
        <w:rFonts w:ascii="Tahoma" w:hAnsi="Tahoma" w:cs="Tahoma"/>
        <w:sz w:val="20"/>
      </w:rPr>
    </w:pPr>
    <w:r w:rsidRPr="00DB71AE">
      <w:rPr>
        <w:rFonts w:ascii="Tahoma" w:hAnsi="Tahoma" w:cs="Tahoma"/>
        <w:sz w:val="20"/>
      </w:rPr>
      <w:t>Av. Amaral Peixoto, 625 / Gabinete 44 – Centro – Niterói – RJ – CEP: 24.023-900</w:t>
    </w:r>
  </w:p>
  <w:p w14:paraId="03926B91" w14:textId="77777777" w:rsidR="000738A9" w:rsidRPr="00DB71AE" w:rsidRDefault="000738A9" w:rsidP="000738A9">
    <w:pPr>
      <w:pStyle w:val="Rodap"/>
      <w:jc w:val="center"/>
      <w:rPr>
        <w:rFonts w:ascii="Tahoma" w:hAnsi="Tahoma" w:cs="Tahoma"/>
        <w:sz w:val="20"/>
      </w:rPr>
    </w:pPr>
    <w:r w:rsidRPr="00DB71AE">
      <w:rPr>
        <w:rFonts w:ascii="Tahoma" w:hAnsi="Tahoma" w:cs="Tahoma"/>
        <w:sz w:val="20"/>
      </w:rPr>
      <w:t>Telefone: (21) 2622-2911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839F56" w14:textId="77777777" w:rsidR="00CB5F47" w:rsidRDefault="00CB5F47" w:rsidP="00CC76FE">
      <w:pPr>
        <w:spacing w:before="0" w:after="0"/>
      </w:pPr>
      <w:r>
        <w:separator/>
      </w:r>
    </w:p>
  </w:footnote>
  <w:footnote w:type="continuationSeparator" w:id="0">
    <w:p w14:paraId="339C7BA6" w14:textId="77777777" w:rsidR="00CB5F47" w:rsidRDefault="00CB5F47" w:rsidP="00CC76FE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4F735" w14:textId="77777777" w:rsidR="009F0FBD" w:rsidRDefault="009F0FBD" w:rsidP="009F0FBD">
    <w:pPr>
      <w:pStyle w:val="Cabealho"/>
      <w:rPr>
        <w:rFonts w:ascii="Tahoma" w:eastAsiaTheme="minorHAnsi" w:hAnsi="Tahoma" w:cs="Tahoma"/>
        <w:b/>
        <w:sz w:val="48"/>
        <w:szCs w:val="48"/>
      </w:rPr>
    </w:pPr>
    <w:r>
      <w:rPr>
        <w:noProof/>
        <w:lang w:eastAsia="pt-BR"/>
      </w:rPr>
      <w:drawing>
        <wp:inline distT="0" distB="0" distL="0" distR="0" wp14:anchorId="064FC073" wp14:editId="3C96BFE3">
          <wp:extent cx="944880" cy="1133475"/>
          <wp:effectExtent l="0" t="0" r="7620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ahoma" w:hAnsi="Tahoma" w:cs="Tahoma"/>
        <w:b/>
        <w:sz w:val="48"/>
        <w:szCs w:val="48"/>
      </w:rPr>
      <w:t>Câmara Municipal de Niterói</w:t>
    </w:r>
  </w:p>
  <w:p w14:paraId="50EC795B" w14:textId="77777777" w:rsidR="009F0FBD" w:rsidRDefault="009F0FBD" w:rsidP="009F0FBD">
    <w:pPr>
      <w:pStyle w:val="Cabealho"/>
      <w:rPr>
        <w:rFonts w:ascii="Tahoma" w:hAnsi="Tahoma" w:cs="Tahoma"/>
        <w:b/>
        <w:sz w:val="28"/>
        <w:szCs w:val="28"/>
      </w:rPr>
    </w:pPr>
    <w:r>
      <w:rPr>
        <w:rFonts w:ascii="Tahoma" w:hAnsi="Tahoma" w:cs="Tahoma"/>
        <w:b/>
        <w:sz w:val="28"/>
        <w:szCs w:val="28"/>
      </w:rPr>
      <w:t xml:space="preserve">                          Gabinete Vereador Binho Guimarães</w:t>
    </w:r>
  </w:p>
  <w:p w14:paraId="1AF86E61" w14:textId="77777777" w:rsidR="00CC76FE" w:rsidRPr="009F0FBD" w:rsidRDefault="00CC76FE" w:rsidP="009F0FB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11687"/>
    <w:multiLevelType w:val="multilevel"/>
    <w:tmpl w:val="A3741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50C44"/>
    <w:rsid w:val="00005F02"/>
    <w:rsid w:val="00033387"/>
    <w:rsid w:val="00044776"/>
    <w:rsid w:val="000738A9"/>
    <w:rsid w:val="000A1978"/>
    <w:rsid w:val="000A7169"/>
    <w:rsid w:val="000B0EDA"/>
    <w:rsid w:val="000B0F66"/>
    <w:rsid w:val="000B575D"/>
    <w:rsid w:val="00117305"/>
    <w:rsid w:val="00117E8B"/>
    <w:rsid w:val="00164CBF"/>
    <w:rsid w:val="00187A91"/>
    <w:rsid w:val="001B1E4A"/>
    <w:rsid w:val="001E5676"/>
    <w:rsid w:val="002403E0"/>
    <w:rsid w:val="00260FC3"/>
    <w:rsid w:val="002933C0"/>
    <w:rsid w:val="002C5B10"/>
    <w:rsid w:val="002D5085"/>
    <w:rsid w:val="002E631D"/>
    <w:rsid w:val="002F6ACE"/>
    <w:rsid w:val="0030632E"/>
    <w:rsid w:val="00322C6B"/>
    <w:rsid w:val="00327BCC"/>
    <w:rsid w:val="00331846"/>
    <w:rsid w:val="003379F8"/>
    <w:rsid w:val="00362A47"/>
    <w:rsid w:val="003661E6"/>
    <w:rsid w:val="00366459"/>
    <w:rsid w:val="00385082"/>
    <w:rsid w:val="003C1E1D"/>
    <w:rsid w:val="003C6445"/>
    <w:rsid w:val="003C769B"/>
    <w:rsid w:val="003F75C0"/>
    <w:rsid w:val="004303CE"/>
    <w:rsid w:val="004644AB"/>
    <w:rsid w:val="004655FA"/>
    <w:rsid w:val="00483B86"/>
    <w:rsid w:val="004938C4"/>
    <w:rsid w:val="004A24B0"/>
    <w:rsid w:val="004C498A"/>
    <w:rsid w:val="004D51F1"/>
    <w:rsid w:val="004F22CE"/>
    <w:rsid w:val="00514E3B"/>
    <w:rsid w:val="00536ADC"/>
    <w:rsid w:val="005417B5"/>
    <w:rsid w:val="00546CC3"/>
    <w:rsid w:val="005470C7"/>
    <w:rsid w:val="00547A86"/>
    <w:rsid w:val="00574E20"/>
    <w:rsid w:val="00581BE5"/>
    <w:rsid w:val="005A61D5"/>
    <w:rsid w:val="005B2525"/>
    <w:rsid w:val="005C3747"/>
    <w:rsid w:val="006A4004"/>
    <w:rsid w:val="006A5705"/>
    <w:rsid w:val="006B5790"/>
    <w:rsid w:val="00703369"/>
    <w:rsid w:val="007310A4"/>
    <w:rsid w:val="00746A73"/>
    <w:rsid w:val="007C5B13"/>
    <w:rsid w:val="007D7174"/>
    <w:rsid w:val="0080264A"/>
    <w:rsid w:val="00802B81"/>
    <w:rsid w:val="008046F8"/>
    <w:rsid w:val="00850B38"/>
    <w:rsid w:val="008B4720"/>
    <w:rsid w:val="008C345A"/>
    <w:rsid w:val="008D1C09"/>
    <w:rsid w:val="008E1A25"/>
    <w:rsid w:val="00951E50"/>
    <w:rsid w:val="00972FE6"/>
    <w:rsid w:val="009C05C0"/>
    <w:rsid w:val="009C5418"/>
    <w:rsid w:val="009E2DE4"/>
    <w:rsid w:val="009E77AA"/>
    <w:rsid w:val="009F0FBD"/>
    <w:rsid w:val="009F25AD"/>
    <w:rsid w:val="00A114B7"/>
    <w:rsid w:val="00A20EFE"/>
    <w:rsid w:val="00A25A74"/>
    <w:rsid w:val="00A30556"/>
    <w:rsid w:val="00A33D2A"/>
    <w:rsid w:val="00A93021"/>
    <w:rsid w:val="00AD4D25"/>
    <w:rsid w:val="00AE72DF"/>
    <w:rsid w:val="00AF2122"/>
    <w:rsid w:val="00C27444"/>
    <w:rsid w:val="00C665A6"/>
    <w:rsid w:val="00CB5F47"/>
    <w:rsid w:val="00CC76FE"/>
    <w:rsid w:val="00CD72DE"/>
    <w:rsid w:val="00D30D8D"/>
    <w:rsid w:val="00D378F1"/>
    <w:rsid w:val="00D50C44"/>
    <w:rsid w:val="00D5456B"/>
    <w:rsid w:val="00D778D2"/>
    <w:rsid w:val="00D9630C"/>
    <w:rsid w:val="00DB13B2"/>
    <w:rsid w:val="00DB71AE"/>
    <w:rsid w:val="00DC4076"/>
    <w:rsid w:val="00DD63BF"/>
    <w:rsid w:val="00E07A2F"/>
    <w:rsid w:val="00E13F69"/>
    <w:rsid w:val="00E176A2"/>
    <w:rsid w:val="00E503F2"/>
    <w:rsid w:val="00E76B56"/>
    <w:rsid w:val="00E801D5"/>
    <w:rsid w:val="00EA0226"/>
    <w:rsid w:val="00EE0C9D"/>
    <w:rsid w:val="00F52DE2"/>
    <w:rsid w:val="00F57F49"/>
    <w:rsid w:val="00F808CD"/>
    <w:rsid w:val="00FA44D0"/>
    <w:rsid w:val="00FA574A"/>
    <w:rsid w:val="00FB01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5F7A3"/>
  <w15:docId w15:val="{E91CD421-BFD1-4948-A0D3-28073D049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C44"/>
    <w:pPr>
      <w:spacing w:before="100" w:after="200" w:line="240" w:lineRule="auto"/>
      <w:jc w:val="both"/>
    </w:pPr>
    <w:rPr>
      <w:rFonts w:eastAsiaTheme="minorEastAsia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Sutil">
    <w:name w:val="Subtle Emphasis"/>
    <w:aliases w:val="Legislação"/>
    <w:basedOn w:val="Fontepargpadro"/>
    <w:uiPriority w:val="19"/>
    <w:qFormat/>
    <w:rsid w:val="006A5705"/>
    <w:rPr>
      <w:rFonts w:asciiTheme="minorHAnsi" w:hAnsiTheme="minorHAnsi"/>
      <w:i/>
      <w:iCs w:val="0"/>
      <w:color w:val="1F3763" w:themeColor="accent1" w:themeShade="7F"/>
      <w:sz w:val="22"/>
      <w:szCs w:val="18"/>
    </w:rPr>
  </w:style>
  <w:style w:type="character" w:styleId="RefernciaSutil">
    <w:name w:val="Subtle Reference"/>
    <w:basedOn w:val="Fontepargpadro"/>
    <w:uiPriority w:val="31"/>
    <w:qFormat/>
    <w:rsid w:val="00DB13B2"/>
    <w:rPr>
      <w:smallCaps/>
      <w:color w:val="5A5A5A" w:themeColor="text1" w:themeTint="A5"/>
    </w:rPr>
  </w:style>
  <w:style w:type="character" w:styleId="Forte">
    <w:name w:val="Strong"/>
    <w:basedOn w:val="Fontepargpadro"/>
    <w:uiPriority w:val="22"/>
    <w:qFormat/>
    <w:rsid w:val="00D50C44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CC76FE"/>
    <w:pPr>
      <w:tabs>
        <w:tab w:val="center" w:pos="4513"/>
        <w:tab w:val="right" w:pos="9026"/>
      </w:tabs>
      <w:spacing w:before="0" w:after="0"/>
    </w:pPr>
  </w:style>
  <w:style w:type="character" w:customStyle="1" w:styleId="CabealhoChar">
    <w:name w:val="Cabeçalho Char"/>
    <w:basedOn w:val="Fontepargpadro"/>
    <w:link w:val="Cabealho"/>
    <w:uiPriority w:val="99"/>
    <w:rsid w:val="00CC76FE"/>
    <w:rPr>
      <w:rFonts w:eastAsiaTheme="minorEastAsia"/>
      <w:szCs w:val="20"/>
    </w:rPr>
  </w:style>
  <w:style w:type="paragraph" w:styleId="Rodap">
    <w:name w:val="footer"/>
    <w:basedOn w:val="Normal"/>
    <w:link w:val="RodapChar"/>
    <w:uiPriority w:val="99"/>
    <w:unhideWhenUsed/>
    <w:rsid w:val="00CC76FE"/>
    <w:pPr>
      <w:tabs>
        <w:tab w:val="center" w:pos="4513"/>
        <w:tab w:val="right" w:pos="9026"/>
      </w:tabs>
      <w:spacing w:before="0" w:after="0"/>
    </w:pPr>
  </w:style>
  <w:style w:type="character" w:customStyle="1" w:styleId="RodapChar">
    <w:name w:val="Rodapé Char"/>
    <w:basedOn w:val="Fontepargpadro"/>
    <w:link w:val="Rodap"/>
    <w:uiPriority w:val="99"/>
    <w:rsid w:val="00CC76FE"/>
    <w:rPr>
      <w:rFonts w:eastAsiaTheme="minorEastAsia"/>
      <w:szCs w:val="20"/>
    </w:rPr>
  </w:style>
  <w:style w:type="paragraph" w:styleId="NormalWeb">
    <w:name w:val="Normal (Web)"/>
    <w:basedOn w:val="Normal"/>
    <w:uiPriority w:val="99"/>
    <w:unhideWhenUsed/>
    <w:rsid w:val="00D9630C"/>
    <w:pPr>
      <w:spacing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7A91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7A91"/>
    <w:rPr>
      <w:rFonts w:ascii="Tahoma" w:eastAsiaTheme="minorEastAsia" w:hAnsi="Tahoma" w:cs="Tahoma"/>
      <w:sz w:val="16"/>
      <w:szCs w:val="16"/>
    </w:rPr>
  </w:style>
  <w:style w:type="paragraph" w:styleId="SemEspaamento">
    <w:name w:val="No Spacing"/>
    <w:uiPriority w:val="1"/>
    <w:qFormat/>
    <w:rsid w:val="003661E6"/>
    <w:pPr>
      <w:spacing w:after="0" w:line="240" w:lineRule="auto"/>
      <w:jc w:val="both"/>
    </w:pPr>
    <w:rPr>
      <w:rFonts w:eastAsiaTheme="minorEastAsia"/>
      <w:szCs w:val="20"/>
    </w:rPr>
  </w:style>
  <w:style w:type="paragraph" w:customStyle="1" w:styleId="Normal1">
    <w:name w:val="Normal1"/>
    <w:rsid w:val="003661E6"/>
    <w:pPr>
      <w:spacing w:after="0" w:line="276" w:lineRule="auto"/>
    </w:pPr>
    <w:rPr>
      <w:rFonts w:ascii="Arial" w:eastAsia="Arial" w:hAnsi="Arial" w:cs="Arial"/>
      <w:lang w:eastAsia="pt-BR"/>
    </w:rPr>
  </w:style>
  <w:style w:type="character" w:styleId="Hyperlink">
    <w:name w:val="Hyperlink"/>
    <w:basedOn w:val="Fontepargpadro"/>
    <w:uiPriority w:val="99"/>
    <w:unhideWhenUsed/>
    <w:rsid w:val="006A4004"/>
    <w:rPr>
      <w:color w:val="0563C1" w:themeColor="hyperlink"/>
      <w:u w:val="single"/>
    </w:rPr>
  </w:style>
  <w:style w:type="character" w:customStyle="1" w:styleId="label">
    <w:name w:val="label"/>
    <w:basedOn w:val="Fontepargpadro"/>
    <w:rsid w:val="00951E50"/>
  </w:style>
  <w:style w:type="character" w:customStyle="1" w:styleId="titulo">
    <w:name w:val="titulo"/>
    <w:basedOn w:val="Fontepargpadro"/>
    <w:rsid w:val="00951E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9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ismunicipais.com.br/a/rj/n/niteroi/lei-ordinaria/2008/262/2624/lei-ordinaria-n-2624-2008-institui-o-novo-codigo-de-posturas-do-municipio-de-niteroi-e-da-outras-providencia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EC6060-DFFB-49C3-8E36-8EDAAA884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388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Carolina Vaz</dc:creator>
  <cp:lastModifiedBy>Carolina Vaz</cp:lastModifiedBy>
  <cp:revision>6</cp:revision>
  <cp:lastPrinted>2022-11-16T14:01:00Z</cp:lastPrinted>
  <dcterms:created xsi:type="dcterms:W3CDTF">2022-11-16T12:59:00Z</dcterms:created>
  <dcterms:modified xsi:type="dcterms:W3CDTF">2022-11-16T14:57:00Z</dcterms:modified>
</cp:coreProperties>
</file>