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ATRATINO CORTES COUTINHO NETO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00143/2022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O TOMBAMENTO DO RESTAURANTE DO SEU ANTÔNIO DO BACALHAU COMO PATRIMÔNIO IMATERIAL DA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Fica tombado como patrimônio imaterial da cidade de Niterói o Restaurante do Seu Antônio do Bacalhau, situado na Rua Dr Heleno de Gregório, nº 312, no bairro do Cafubá.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Art. 2º Esta lei entra em vigor na data de sua publicação, revogadas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Seu Antônio: “Uma Casa Brasileira Com Certeza.”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Alguns restaurantes foram feitos apenas para comer – isso é o básico. Existem, contudo, outros que pertencem a uma categoria diferente. Não nasceram prontos, foram construídos lentamente ao longo do tempo, possuem história e nome próprio. “Seu Antônio”, perto de completar 37 anos, é um desses estabelecimentos que transcendem o tempo e a moda. Ali comer não é causa, mas consequência de se estar. Momento de compartilhar, com familiares e amigos, a qualidade e a fartura de seus pratos, a atenção sempre cordial de seus funcionários e, sobretudo, vivenciar, entre amendoeiras, poemas e murais, o ambiente acolhedor deste lugar que, criado por um imigrante Português (Antônio Alves) e sua família, conquistou, além do paladar, a alma de muitos brasileiros.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19 de Outubro de 2022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ATRATINO CORTES COUTINHO NETO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