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“Patrocínio aos atletas de slackline que competem por Niterói” - ANEXO II, NO PROGRAMA 6020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“Patrocínio aos atletas de slackline que competem por Niterói”   no anexo II, no programa 6020 - PATROCÍNIO DE ATLETAS E TIMES DO MUNICÍPIO 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6020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“Patrocínio aos atletas de slackline que competem por Niterói”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Açaõ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R$12.000.00</w:t>
            </w:r>
          </w:p>
        </w:tc>
      </w:tr>
    </w:tbl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R$12.000.00</w:t>
      </w:r>
    </w:p>
    <w:p w:rsidR="00000000" w:rsidDel="00000000" w:rsidP="00000000" w:rsidRDefault="00000000" w:rsidRPr="00000000" w14:paraId="0000002E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valorizar os atletas que levam o nome da cidade para o circuito nacional e internacional do Slackline. Niterói foi o berço do slack no Brasil, o município é referência nacional e internacional na modalidade. Apoiar e dar suporte básico são caminhos para que atletas possam se dedicar a treinar e com isto trazer mais títulos e dar visibilidade para o município.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BYjtshqCsn545emErUCPsJnu7Q==">AMUW2mVE//eAXVaunALxIjm4UdNEkcvc+0Y+AUoC0J4n4NUrDjNY1lRuL3xpY2ugueKQ7DYB8szyN7tE/0LDkbFIz9JmoA7XUupUQ3UEI/UUssQJ5n4/4mlejH4ktk1K0Vcs+EYWAJ9Y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