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“Apoio aos veículos de comunicação comunitários, alternativos e populares (rádios, TVs, jornais e sites comunitários e populares)” - ANEXO II, NO PROGRAMA 0140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“Apoio aos veículos de comunicação comunitários, alternativos e populares (rádios, TVs, jornais e sites comunitários e populares)”  no anexo II, no programa 0140 - Justiça, Cidadania e Acessibilidade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“Apoio aos veículos de comunicação comunitários, alternativos e populares (rádios, TVs, jornais e sites comunitários e populares)”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Veículos apoiados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500.000.00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R$ 500.000.00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ab/>
        <w:t xml:space="preserve">A presente proposta tem o intuito de fortalecer os veículos de comunicação comunitários e populares existentes na cidade.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veOF9NPJlcyYspjH/BEqitLgtg==">AMUW2mWuZolssUxSm1mNkp1vV23ltwAWXM+rMy7WAki+ryspYLop6U1yqGtPfc1a0uiLTHj2prmj2uBRX4QXlEpfIbiBG2vQue7IiwuBohPoPbDNhfTnKkA6xiIi94DZC1j/T6mXSeWm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