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“Instalação e manutenção de banheiros públicos gratuitos”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 Acrescenta a ação “Instalação e manutenção de banheiros públicos gratuitos”no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282"/>
        <w:gridCol w:w="1276"/>
        <w:tblGridChange w:id="0">
          <w:tblGrid>
            <w:gridCol w:w="2490"/>
            <w:gridCol w:w="1170"/>
            <w:gridCol w:w="1455"/>
            <w:gridCol w:w="2715"/>
            <w:gridCol w:w="1005"/>
            <w:gridCol w:w="1282"/>
            <w:gridCol w:w="127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“Instalação e manutenção de banheiros públicos gratuitos”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banheiros construídos e mantidos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500.000.00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instalação de manutenção de banheiros públicos gratuitos espalhados pela cidade, de modo a garantir o devido acesso à população em situação de rua.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COsjnkYe15bx1ot7i8MxaL1ySQ==">AMUW2mU6shjkLrSAeP+h8gZjVt1e1OLEn8EW+hZmzWdXHOqWYK1yYloErMWIPGjse+qHVzF8Y+jt8X5fWQSrfGWHkmLP1QJek3yPBjZLLBATsyYPdJwLuB8bLf6pLDnTIih7SWpSkabz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