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ind w:left="7371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saúde da população trans para média complexiade no âmbito do SUS na Lei de Diretrizes Orçamentárias - LDO, para o Exercício Financeiro de 2023 do Município de Niterói.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“SAÚDE DA POPULAÇÃO TRANS</w:t>
      </w:r>
      <w:r w:rsidDel="00000000" w:rsidR="00000000" w:rsidRPr="00000000">
        <w:rPr>
          <w:sz w:val="24"/>
          <w:szCs w:val="24"/>
          <w:rtl w:val="0"/>
        </w:rPr>
        <w:t xml:space="preserve">”,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EDUCAÇÃO</w:t>
      </w:r>
      <w:r w:rsidDel="00000000" w:rsidR="00000000" w:rsidRPr="00000000">
        <w:rPr>
          <w:sz w:val="24"/>
          <w:szCs w:val="24"/>
          <w:rtl w:val="0"/>
        </w:rPr>
        <w:t xml:space="preserve">, no Anexo II do Livro de Orçamento de 2023, que passa a vigorar da seguinte forma: </w:t>
      </w:r>
    </w:p>
    <w:p w:rsidR="00000000" w:rsidDel="00000000" w:rsidP="00000000" w:rsidRDefault="00000000" w:rsidRPr="00000000" w14:paraId="00000006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sz w:val="16"/>
          <w:szCs w:val="16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INCENTIVO À SAÚDE DA POPULAÇÃO TRANS EM MÉDIA COMPLEXIDADE </w:t>
      </w:r>
      <w:r w:rsidDel="00000000" w:rsidR="00000000" w:rsidRPr="00000000">
        <w:rPr>
          <w:rtl w:val="0"/>
        </w:rPr>
      </w:r>
    </w:p>
    <w:tbl>
      <w:tblPr>
        <w:tblStyle w:val="Table1"/>
        <w:tblW w:w="14420.0" w:type="dxa"/>
        <w:jc w:val="left"/>
        <w:tblInd w:w="0.0" w:type="dxa"/>
        <w:tblLayout w:type="fixed"/>
        <w:tblLook w:val="0000"/>
      </w:tblPr>
      <w:tblGrid>
        <w:gridCol w:w="2960"/>
        <w:gridCol w:w="1180"/>
        <w:gridCol w:w="1180"/>
        <w:gridCol w:w="1020"/>
        <w:gridCol w:w="2620"/>
        <w:gridCol w:w="2120"/>
        <w:gridCol w:w="1400"/>
        <w:gridCol w:w="1940"/>
        <w:tblGridChange w:id="0">
          <w:tblGrid>
            <w:gridCol w:w="2960"/>
            <w:gridCol w:w="1180"/>
            <w:gridCol w:w="1180"/>
            <w:gridCol w:w="1020"/>
            <w:gridCol w:w="2620"/>
            <w:gridCol w:w="2120"/>
            <w:gridCol w:w="1400"/>
            <w:gridCol w:w="194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 BÁSICA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Praticantes Atendidos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soma total realocada é de R$ 100.000,00 (cem mil reais).</w:t>
      </w:r>
    </w:p>
    <w:p w:rsidR="00000000" w:rsidDel="00000000" w:rsidP="00000000" w:rsidRDefault="00000000" w:rsidRPr="00000000" w14:paraId="00000042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5024 | INSTALAÇÃO DE ILUMINAÇÃO CÊNICA NATALINA DOS PARQUES E HORTOS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 MUNICIPAL DE CONSERVACAO E SERVICOS PÚBLICOS</w:t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420.0" w:type="dxa"/>
        <w:jc w:val="left"/>
        <w:tblInd w:w="0.0" w:type="dxa"/>
        <w:tblLayout w:type="fixed"/>
        <w:tblLook w:val="0000"/>
      </w:tblPr>
      <w:tblGrid>
        <w:gridCol w:w="2820"/>
        <w:gridCol w:w="1080"/>
        <w:gridCol w:w="1080"/>
        <w:gridCol w:w="800"/>
        <w:gridCol w:w="2080"/>
        <w:gridCol w:w="3080"/>
        <w:gridCol w:w="1680"/>
        <w:gridCol w:w="1800"/>
        <w:tblGridChange w:id="0">
          <w:tblGrid>
            <w:gridCol w:w="2820"/>
            <w:gridCol w:w="1080"/>
            <w:gridCol w:w="1080"/>
            <w:gridCol w:w="800"/>
            <w:gridCol w:w="2080"/>
            <w:gridCol w:w="3080"/>
            <w:gridCol w:w="1680"/>
            <w:gridCol w:w="180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COMERCIO E SERVICOS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MUNICIPAL DE CONSERVACAO E SERVICOS PÚBLICOS  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TURISMO 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Logradouro com</w:t>
            </w:r>
          </w:p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iluminação</w:t>
            </w:r>
          </w:p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implantado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R$ 1.500.000,00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R$ 1.500.000,00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R$ 1.500.000,00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R$ 1.500.000,00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1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                    JUSTIFICATIVA</w:t>
      </w:r>
    </w:p>
    <w:p w:rsidR="00000000" w:rsidDel="00000000" w:rsidP="00000000" w:rsidRDefault="00000000" w:rsidRPr="00000000" w14:paraId="00000082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Partindo da premissa de que gênero e sexualidade são dimensões diferentes que integram a identidade de cada indivíduo, entende-se que os serviços públicos e as políticas sociais devem reconhecer, respeitar e valorizar essas dimensões na elaboração de suas políticas públicas e estratégias de atendimento. Ademais, sendo essas dimensões constitutivas da identidade da pessoa humana, todas as manifestações possíveis de gênero e de sexualidade devem ser igualmente respeitadas e não discriminadas.</w:t>
      </w:r>
    </w:p>
    <w:p w:rsidR="00000000" w:rsidDel="00000000" w:rsidP="00000000" w:rsidRDefault="00000000" w:rsidRPr="00000000" w14:paraId="0000008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Diante da realidade que se apresenta no Brasil e, em Niterói não se faz diferente das situações em que as pessoas trans são submetidas a procedimentos estéticos de baixo custo e podendo haver complicações que a saúde básica não consegue lidar, faz-se necessário que os hospitais de emergência do município tenham condições efetivas e materiais para atender a população que busca por atendimento médico.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40" w:lineRule="auto"/>
        <w:ind w:firstLine="72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</w:t>
        <w:tab/>
        <w:tab/>
        <w:tab/>
        <w:tab/>
        <w:tab/>
        <w:tab/>
        <w:tab/>
        <w:tab/>
        <w:tab/>
      </w:r>
      <w:r w:rsidDel="00000000" w:rsidR="00000000" w:rsidRPr="00000000">
        <w:rPr>
          <w:sz w:val="24"/>
          <w:szCs w:val="24"/>
          <w:rtl w:val="0"/>
        </w:rPr>
        <w:t xml:space="preserve">Sala das Sessões, 31 de maio de 2022.  </w:t>
      </w:r>
    </w:p>
    <w:p w:rsidR="00000000" w:rsidDel="00000000" w:rsidP="00000000" w:rsidRDefault="00000000" w:rsidRPr="00000000" w14:paraId="0000008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tabs>
          <w:tab w:val="center" w:pos="4252"/>
          <w:tab w:val="right" w:pos="8504"/>
        </w:tabs>
        <w:spacing w:line="240" w:lineRule="auto"/>
        <w:rPr>
          <w:sz w:val="46"/>
          <w:szCs w:val="46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1">
    <w:pPr>
      <w:spacing w:after="160" w:line="259" w:lineRule="auto"/>
      <w:jc w:val="center"/>
      <w:rPr>
        <w:rFonts w:ascii="Calibri" w:cs="Calibri" w:eastAsia="Calibri" w:hAnsi="Calibri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2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3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