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 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="240" w:lineRule="auto"/>
        <w:ind w:left="7371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Emenda Aditiva para assegurar previsão orçamentária para “saúde integral da população LGBTIA+” na Lei de Diretrizes Orçamentárias - LDO, para o Exercício Financeiro de 2023 do Município de Niterói.</w:t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Fica criada a ação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</w:t>
      </w:r>
      <w:r w:rsidDel="00000000" w:rsidR="00000000" w:rsidRPr="00000000">
        <w:rPr>
          <w:sz w:val="24"/>
          <w:szCs w:val="24"/>
          <w:rtl w:val="0"/>
        </w:rPr>
        <w:t xml:space="preserve">saúde integral da população LGBTIA+</w:t>
      </w:r>
      <w:r w:rsidDel="00000000" w:rsidR="00000000" w:rsidRPr="00000000">
        <w:rPr>
          <w:sz w:val="24"/>
          <w:szCs w:val="24"/>
          <w:rtl w:val="0"/>
        </w:rPr>
        <w:t xml:space="preserve">”, na Unidade Orçamentária 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SECRETARIA MUNICIPAL DE SAÚDE</w:t>
      </w:r>
      <w:r w:rsidDel="00000000" w:rsidR="00000000" w:rsidRPr="00000000">
        <w:rPr>
          <w:sz w:val="24"/>
          <w:szCs w:val="24"/>
          <w:rtl w:val="0"/>
        </w:rPr>
        <w:t xml:space="preserve">, no Anexo II do Livro de Orçamento de 2023, que passa a vigorar da seguinte forma: </w:t>
      </w:r>
    </w:p>
    <w:p w:rsidR="00000000" w:rsidDel="00000000" w:rsidP="00000000" w:rsidRDefault="00000000" w:rsidRPr="00000000" w14:paraId="00000006">
      <w:pPr>
        <w:spacing w:after="2" w:before="2"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rPr>
          <w:sz w:val="16"/>
          <w:szCs w:val="16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INCENTIVO À SAÚDE INTEGRAL  DA POPULAÇÃO LGBTIA+</w:t>
      </w:r>
      <w:r w:rsidDel="00000000" w:rsidR="00000000" w:rsidRPr="00000000">
        <w:rPr>
          <w:rtl w:val="0"/>
        </w:rPr>
      </w:r>
    </w:p>
    <w:tbl>
      <w:tblPr>
        <w:tblStyle w:val="Table1"/>
        <w:tblW w:w="14420.0" w:type="dxa"/>
        <w:jc w:val="left"/>
        <w:tblInd w:w="0.0" w:type="dxa"/>
        <w:tblLayout w:type="fixed"/>
        <w:tblLook w:val="0000"/>
      </w:tblPr>
      <w:tblGrid>
        <w:gridCol w:w="2960"/>
        <w:gridCol w:w="1180"/>
        <w:gridCol w:w="1180"/>
        <w:gridCol w:w="1020"/>
        <w:gridCol w:w="2620"/>
        <w:gridCol w:w="2120"/>
        <w:gridCol w:w="1400"/>
        <w:gridCol w:w="1940"/>
        <w:tblGridChange w:id="0">
          <w:tblGrid>
            <w:gridCol w:w="2960"/>
            <w:gridCol w:w="1180"/>
            <w:gridCol w:w="1180"/>
            <w:gridCol w:w="1020"/>
            <w:gridCol w:w="2620"/>
            <w:gridCol w:w="2120"/>
            <w:gridCol w:w="1400"/>
            <w:gridCol w:w="1940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ATIVIDADE FINALÍSTICA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SAÚDE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FUNDAÇÃO MUN DE SAÚDE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SAÚDE BÁSICA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Praticantes Atendidos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%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R$ 100.000,00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R$ 100.000,00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execução da ação acima serão compensados da ação abaixo indicada, constante do Anexo II do Livro de Orçamento de 2023, cuja a soma total realocada é de R$ 100.000,00 (cem mil reais).</w:t>
      </w:r>
    </w:p>
    <w:p w:rsidR="00000000" w:rsidDel="00000000" w:rsidP="00000000" w:rsidRDefault="00000000" w:rsidRPr="00000000" w14:paraId="00000042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5024 | INSTALAÇÃO DE ILUMINAÇÃO CÊNICA NATALINA DOS PARQUES E HORTOS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Órgão Responsável:</w:t>
      </w:r>
      <w:r w:rsidDel="00000000" w:rsidR="00000000" w:rsidRPr="00000000">
        <w:rPr>
          <w:sz w:val="24"/>
          <w:szCs w:val="24"/>
          <w:rtl w:val="0"/>
        </w:rPr>
        <w:t xml:space="preserve">      SEC MUNICIPAL DE CONSERVACAO E SERVICOS PÚBLICOS</w:t>
      </w:r>
    </w:p>
    <w:p w:rsidR="00000000" w:rsidDel="00000000" w:rsidP="00000000" w:rsidRDefault="00000000" w:rsidRPr="00000000" w14:paraId="00000046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420.0" w:type="dxa"/>
        <w:jc w:val="left"/>
        <w:tblInd w:w="0.0" w:type="dxa"/>
        <w:tblLayout w:type="fixed"/>
        <w:tblLook w:val="0000"/>
      </w:tblPr>
      <w:tblGrid>
        <w:gridCol w:w="2820"/>
        <w:gridCol w:w="1080"/>
        <w:gridCol w:w="1080"/>
        <w:gridCol w:w="800"/>
        <w:gridCol w:w="2080"/>
        <w:gridCol w:w="3080"/>
        <w:gridCol w:w="1680"/>
        <w:gridCol w:w="1800"/>
        <w:tblGridChange w:id="0">
          <w:tblGrid>
            <w:gridCol w:w="2820"/>
            <w:gridCol w:w="1080"/>
            <w:gridCol w:w="1080"/>
            <w:gridCol w:w="800"/>
            <w:gridCol w:w="2080"/>
            <w:gridCol w:w="3080"/>
            <w:gridCol w:w="1680"/>
            <w:gridCol w:w="1800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PROJETO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COMERCIO E SERVICOS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SEC MUNICIPAL DE CONSERVACAO E SERVICOS PÚBLICOS  </w:t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SUBFUNÇÃO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TURISMO 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5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Logradouro com</w:t>
            </w:r>
          </w:p>
          <w:p w:rsidR="00000000" w:rsidDel="00000000" w:rsidP="00000000" w:rsidRDefault="00000000" w:rsidRPr="00000000" w14:paraId="0000007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iluminação</w:t>
            </w:r>
          </w:p>
          <w:p w:rsidR="00000000" w:rsidDel="00000000" w:rsidP="00000000" w:rsidRDefault="00000000" w:rsidRPr="00000000" w14:paraId="0000007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implantado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Unidade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R$ 1.500.000,00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R$ 1.500.000,00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R$ 1.500.000,00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R$ 1.500.000,00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1">
      <w:pPr>
        <w:spacing w:after="60" w:before="240" w:line="276" w:lineRule="auto"/>
        <w:ind w:left="4254" w:firstLine="0"/>
        <w:jc w:val="both"/>
        <w:rPr>
          <w:b w:val="1"/>
          <w:smallCaps w:val="1"/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                    JUSTIFICATIVA</w:t>
      </w:r>
    </w:p>
    <w:p w:rsidR="00000000" w:rsidDel="00000000" w:rsidP="00000000" w:rsidRDefault="00000000" w:rsidRPr="00000000" w14:paraId="00000082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Partindo da premissa de que gênero e sexualidade são dimensões diferentes que integram a identidade de cada indivíduo, entende-se que os serviços públicos e as políticas sociais devem reconhecer, respeitar e valorizar essas dimensões na elaboração de suas políticas públicas e estratégias de atendimento. Ademais, sendo essas dimensões constitutivas da identidade da pessoa humana, todas as manifestações possíveis de gênero e de sexualidade devem ser igualmente respeitadas e não discriminadas.</w:t>
      </w:r>
    </w:p>
    <w:p w:rsidR="00000000" w:rsidDel="00000000" w:rsidP="00000000" w:rsidRDefault="00000000" w:rsidRPr="00000000" w14:paraId="0000008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Desta forma, faz-se necessário que se haja orçamento específico destinado para os serviços está para dar significado material a um conjunto de marcos legais e normativos que fundamentam a garantia do direito à saúde integral a lésbicas, gays, bissexuais, travestis, transexuais, intersexuais e pessoas com identidade de gênero não-binária (LGBTI+).      </w:t>
      </w:r>
    </w:p>
    <w:p w:rsidR="00000000" w:rsidDel="00000000" w:rsidP="00000000" w:rsidRDefault="00000000" w:rsidRPr="00000000" w14:paraId="00000085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line="240" w:lineRule="auto"/>
        <w:ind w:firstLine="72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31 de maio de 2022.  </w:t>
      </w:r>
    </w:p>
    <w:p w:rsidR="00000000" w:rsidDel="00000000" w:rsidP="00000000" w:rsidRDefault="00000000" w:rsidRPr="00000000" w14:paraId="00000087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Paulo Eduardo Gomes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D">
    <w:pPr>
      <w:spacing w:after="160" w:line="259" w:lineRule="auto"/>
      <w:jc w:val="center"/>
      <w:rPr>
        <w:rFonts w:ascii="Calibri" w:cs="Calibri" w:eastAsia="Calibri" w:hAnsi="Calibri"/>
      </w:rPr>
    </w:pPr>
    <w:bookmarkStart w:colFirst="0" w:colLast="0" w:name="_1fob9te" w:id="0"/>
    <w:bookmarkEnd w:id="0"/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750188" cy="777467"/>
          <wp:effectExtent b="0" l="0" r="0" t="0"/>
          <wp:docPr descr="Resultado de imagem para camara municipal de niterói&quot;" id="1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188" cy="77746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E">
    <w:pPr>
      <w:spacing w:after="160" w:line="240" w:lineRule="auto"/>
      <w:jc w:val="center"/>
      <w:rPr>
        <w:rFonts w:ascii="Calibri" w:cs="Calibri" w:eastAsia="Calibri" w:hAnsi="Calibri"/>
        <w:b w:val="1"/>
        <w:i w:val="1"/>
        <w:sz w:val="32"/>
        <w:szCs w:val="32"/>
      </w:rPr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F">
    <w:pPr>
      <w:spacing w:after="160" w:line="259" w:lineRule="auto"/>
      <w:jc w:val="center"/>
      <w:rPr/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GABINETE DO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