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“COMPRA DE MEDICAMENTOS PARA REDE DE SAÚDE MENTAL” - ANEXO II NO PROGRAMA 0133 - ATENÇÃO À SAÚDE DO PROJETO DE LEI 039/2022.</w:t>
      </w:r>
    </w:p>
    <w:p w:rsidR="00000000" w:rsidDel="00000000" w:rsidP="00000000" w:rsidRDefault="00000000" w:rsidRPr="00000000" w14:paraId="00000005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“Compra de medicamentos para rede de saúde mental” no anexo II no programa 0133 -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8"/>
                <w:szCs w:val="18"/>
                <w:rtl w:val="0"/>
              </w:rPr>
              <w:t xml:space="preserve">0133 Atenção à Saúde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Compra de medicamentos para rede de saúde mental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Medicamentos Adquiridos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R$ 1.500.000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R$ 1.500.000,00 (um milhão e meio de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hd w:fill="ffffff" w:val="clear"/>
        <w:spacing w:line="288" w:lineRule="auto"/>
        <w:ind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presente emenda, com a </w:t>
      </w:r>
      <w:r w:rsidDel="00000000" w:rsidR="00000000" w:rsidRPr="00000000">
        <w:rPr>
          <w:sz w:val="24"/>
          <w:szCs w:val="24"/>
          <w:rtl w:val="0"/>
        </w:rPr>
        <w:t xml:space="preserve">compra de medicamentos para rede de saúde mental</w:t>
      </w:r>
      <w:r w:rsidDel="00000000" w:rsidR="00000000" w:rsidRPr="00000000">
        <w:rPr>
          <w:highlight w:val="white"/>
          <w:rtl w:val="0"/>
        </w:rPr>
        <w:t xml:space="preserve"> tem por objetivo garantir o direito pessoas com deficiência intelectual e pessoas com transtornos mentais a acessibilidade e o tratamento adequado, e constitucional na rede do município. É relatado pelos profissionais do município o desabastecimento de remédios específicos para o tratamento da saúde mental nas farmácias da rede municipal, bem como nos CAPS, CAPSI, CAPSAD, ambulatórios de saúde mental e até mesmo do Hospital Psiquiátrico de Jurujuba, referência em psiquiatria na cidade. O déficit de remédios vem causando sérios danos à saúde dos pacientes. </w:t>
      </w:r>
    </w:p>
    <w:p w:rsidR="00000000" w:rsidDel="00000000" w:rsidP="00000000" w:rsidRDefault="00000000" w:rsidRPr="00000000" w14:paraId="00000033">
      <w:pPr>
        <w:spacing w:line="288" w:lineRule="auto"/>
        <w:ind w:firstLine="70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É importante ressaltar que o Art. 196 da Constituição Federal Brasileira garante que: “A saúde é direito de todos e dever do Estado, garantido mediante políticas sociais e econômicas que visem à redução do risco de doença e de outros agravos e ao acesso universal e igualitário às ações e serviços para sua promoção, proteção e recuperação.”</w:t>
      </w:r>
    </w:p>
    <w:p w:rsidR="00000000" w:rsidDel="00000000" w:rsidP="00000000" w:rsidRDefault="00000000" w:rsidRPr="00000000" w14:paraId="00000034">
      <w:pPr>
        <w:spacing w:line="288" w:lineRule="auto"/>
        <w:ind w:firstLine="70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Muitos pacientes de baixa renda não têm condições de comprar tais remédios o que resulta na interrupção do tratamento e invariavelmente na internação do paciente, realidade que vai na contramão das políticas públicas que preconizam o tratamento ambulatorial. O fato vai também no sentido oposto do Movimento Antimanicomial, que há décadas luta pelos direitos humanos dos pacientes psiquiátricos</w:t>
      </w:r>
    </w:p>
    <w:p w:rsidR="00000000" w:rsidDel="00000000" w:rsidP="00000000" w:rsidRDefault="00000000" w:rsidRPr="00000000" w14:paraId="00000035">
      <w:pPr>
        <w:spacing w:line="288" w:lineRule="auto"/>
        <w:ind w:firstLine="70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Apresentamos também os direitos adquiridos na LBI e da Convenção da ONU sobre as pessoas com deficiência que tem força de emenda constitucional.</w:t>
      </w:r>
    </w:p>
    <w:p w:rsidR="00000000" w:rsidDel="00000000" w:rsidP="00000000" w:rsidRDefault="00000000" w:rsidRPr="00000000" w14:paraId="00000036">
      <w:pPr>
        <w:spacing w:line="288" w:lineRule="auto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Destacamos abaixo alguns trechos da Lei Brasileira de Inclusão LBI que embasam nossa justificativa:</w:t>
      </w:r>
    </w:p>
    <w:p w:rsidR="00000000" w:rsidDel="00000000" w:rsidP="00000000" w:rsidRDefault="00000000" w:rsidRPr="00000000" w14:paraId="00000037">
      <w:pPr>
        <w:spacing w:line="288" w:lineRule="auto"/>
        <w:ind w:left="2160" w:firstLine="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“Art. 3º Para fins de aplicação desta Lei, consideram-se:</w:t>
      </w:r>
    </w:p>
    <w:p w:rsidR="00000000" w:rsidDel="00000000" w:rsidP="00000000" w:rsidRDefault="00000000" w:rsidRPr="00000000" w14:paraId="00000038">
      <w:pPr>
        <w:spacing w:after="240" w:before="240" w:line="288" w:lineRule="auto"/>
        <w:ind w:left="2160" w:firstLine="5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I - acessibilidade: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coletivo, tanto na zona urbana como na rural, por pessoa com deficiência ou com mobilidade reduzida;</w:t>
      </w:r>
    </w:p>
    <w:p w:rsidR="00000000" w:rsidDel="00000000" w:rsidP="00000000" w:rsidRDefault="00000000" w:rsidRPr="00000000" w14:paraId="00000039">
      <w:pPr>
        <w:spacing w:after="240" w:before="240" w:line="288" w:lineRule="auto"/>
        <w:ind w:left="2160" w:firstLine="5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(...)IV - barreiras: qualquer entrave, obstáculo, atitude ou comportamento que limite ou impeça a participação social da pessoa, bem como o gozo, a fruição e o exercício de seus direitos à acessibilidade, à liberdade de movimento e de expressão, à comunicação, ao acesso à informação, à compreensão, à circulação com segurança, entre outros, classificadas em: </w:t>
      </w:r>
    </w:p>
    <w:p w:rsidR="00000000" w:rsidDel="00000000" w:rsidP="00000000" w:rsidRDefault="00000000" w:rsidRPr="00000000" w14:paraId="0000003A">
      <w:pPr>
        <w:spacing w:after="240" w:before="240" w:line="288" w:lineRule="auto"/>
        <w:ind w:left="2160" w:firstLine="5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(...)a) barreiras urbanísticas: as existentes nas vias e nos espaços públicos e privados abertos ao público ou de uso coletivo; </w:t>
      </w:r>
    </w:p>
    <w:p w:rsidR="00000000" w:rsidDel="00000000" w:rsidP="00000000" w:rsidRDefault="00000000" w:rsidRPr="00000000" w14:paraId="0000003B">
      <w:pPr>
        <w:spacing w:after="240" w:before="240" w:line="288" w:lineRule="auto"/>
        <w:ind w:left="2160" w:firstLine="5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(...)e) barreiras atitudinais: atitudes ou comportamentos que impeçam ou prejudiquem a participação social da pessoa com deficiência em igualdade de condições e oportunidades com as demais pessoas;</w:t>
      </w:r>
    </w:p>
    <w:p w:rsidR="00000000" w:rsidDel="00000000" w:rsidP="00000000" w:rsidRDefault="00000000" w:rsidRPr="00000000" w14:paraId="0000003C">
      <w:pPr>
        <w:spacing w:after="240" w:before="240" w:line="288" w:lineRule="auto"/>
        <w:ind w:left="2160" w:firstLine="5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(...)f) barreiras tecnológicas: as que dificultam ou impedem o acesso da pessoa com deficiência às tecnologias;</w:t>
      </w:r>
    </w:p>
    <w:p w:rsidR="00000000" w:rsidDel="00000000" w:rsidP="00000000" w:rsidRDefault="00000000" w:rsidRPr="00000000" w14:paraId="0000003D">
      <w:pPr>
        <w:spacing w:after="240" w:before="240" w:line="288" w:lineRule="auto"/>
        <w:ind w:left="2160" w:firstLine="5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(...)V - comunicação: forma de interação dos cidadãos que abrange, entre outras opções, as línguas, inclusive a Língua Brasileira de Sinais (Libras), a visualização de textos, o Braille, o sistema de sinalização ou de comunicação tátil, os caracteres ampliados, os dispositivos multimídia, assim como a linguagem simples, escrita e oral, os sistemas auditivos e os meios de voz digitalizados e os modos, meios e formatos aumentativos e alternativos de comunicação, incluindo as tecnologias da informação e das comunicações;”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4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4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