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IMPLEMENTAÇÃO DO ESTATUTO DA IGUALDADE RACIAL - ANEXO II NO PROGRAMA 0140 - JUSTIÇA, CIDADANIA E ACESSIBILIDADE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</w:t>
      </w:r>
      <w:r w:rsidDel="00000000" w:rsidR="00000000" w:rsidRPr="00000000">
        <w:rPr>
          <w:sz w:val="24"/>
          <w:szCs w:val="24"/>
          <w:rtl w:val="0"/>
        </w:rPr>
        <w:t xml:space="preserve">ão “Implementação do Estatuto da Igualdade Racial” n</w:t>
      </w:r>
      <w:r w:rsidDel="00000000" w:rsidR="00000000" w:rsidRPr="00000000">
        <w:rPr>
          <w:sz w:val="24"/>
          <w:szCs w:val="24"/>
          <w:rtl w:val="0"/>
        </w:rPr>
        <w:t xml:space="preserve">o anexo II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Implementação do Estatuto da Igualdade Racial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Estatuto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jc w:val="both"/>
        <w:rPr>
          <w:b w:val="1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direcionar verba para </w:t>
      </w:r>
      <w:r w:rsidDel="00000000" w:rsidR="00000000" w:rsidRPr="00000000">
        <w:rPr>
          <w:sz w:val="24"/>
          <w:szCs w:val="24"/>
          <w:rtl w:val="0"/>
        </w:rPr>
        <w:t xml:space="preserve">garantir igualdade racial entre todos os homens e mulheres que vivem em nossa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