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spacing w:line="331.20000000000005" w:lineRule="auto"/>
        <w:ind w:left="3540" w:firstLine="0"/>
        <w:jc w:val="both"/>
        <w:rPr>
          <w:b w:val="1"/>
          <w:sz w:val="24"/>
          <w:szCs w:val="24"/>
        </w:rPr>
      </w:pPr>
      <w:r w:rsidDel="00000000" w:rsidR="00000000" w:rsidRPr="00000000">
        <w:rPr>
          <w:b w:val="1"/>
          <w:sz w:val="24"/>
          <w:szCs w:val="24"/>
          <w:rtl w:val="0"/>
        </w:rPr>
        <w:t xml:space="preserve">EMENDA ADITIVA QUE ACRESCENTA A AÇÃO “CRIAÇÃO DO FUNDO DE REPARAÇÃO ÀS VÍTIMAS DE VIOLÊNCIA INSTITUCIONAL” - ANEXO II, NO PROGRAMA 0140 DO PROJETO DE LEI 039/2022.</w:t>
      </w:r>
    </w:p>
    <w:p w:rsidR="00000000" w:rsidDel="00000000" w:rsidP="00000000" w:rsidRDefault="00000000" w:rsidRPr="00000000" w14:paraId="00000006">
      <w:pPr>
        <w:spacing w:line="331.20000000000005" w:lineRule="auto"/>
        <w:ind w:left="0" w:firstLine="0"/>
        <w:jc w:val="both"/>
        <w:rPr>
          <w:b w:val="1"/>
          <w:sz w:val="24"/>
          <w:szCs w:val="24"/>
          <w:u w:val="single"/>
        </w:rPr>
      </w:pPr>
      <w:r w:rsidDel="00000000" w:rsidR="00000000" w:rsidRPr="00000000">
        <w:rPr>
          <w:rtl w:val="0"/>
        </w:rPr>
      </w:r>
    </w:p>
    <w:p w:rsidR="00000000" w:rsidDel="00000000" w:rsidP="00000000" w:rsidRDefault="00000000" w:rsidRPr="00000000" w14:paraId="00000007">
      <w:pPr>
        <w:spacing w:line="331.20000000000005" w:lineRule="auto"/>
        <w:ind w:left="0" w:firstLine="0"/>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8">
      <w:pPr>
        <w:spacing w:line="331.20000000000005" w:lineRule="auto"/>
        <w:ind w:left="0" w:firstLine="0"/>
        <w:jc w:val="center"/>
        <w:rPr>
          <w:b w:val="1"/>
          <w:sz w:val="24"/>
          <w:szCs w:val="24"/>
          <w:u w:val="single"/>
        </w:rPr>
      </w:pPr>
      <w:r w:rsidDel="00000000" w:rsidR="00000000" w:rsidRPr="00000000">
        <w:rPr>
          <w:rtl w:val="0"/>
        </w:rPr>
      </w:r>
    </w:p>
    <w:p w:rsidR="00000000" w:rsidDel="00000000" w:rsidP="00000000" w:rsidRDefault="00000000" w:rsidRPr="00000000" w14:paraId="00000009">
      <w:pPr>
        <w:spacing w:line="331.20000000000005" w:lineRule="auto"/>
        <w:ind w:left="0" w:firstLine="0"/>
        <w:jc w:val="both"/>
        <w:rPr>
          <w:color w:val="222222"/>
          <w:sz w:val="24"/>
          <w:szCs w:val="24"/>
        </w:rPr>
      </w:pPr>
      <w:r w:rsidDel="00000000" w:rsidR="00000000" w:rsidRPr="00000000">
        <w:rPr>
          <w:sz w:val="24"/>
          <w:szCs w:val="24"/>
          <w:rtl w:val="0"/>
        </w:rPr>
        <w:t xml:space="preserve">Art. 1º.  Acrescenta a “</w:t>
      </w:r>
      <w:r w:rsidDel="00000000" w:rsidR="00000000" w:rsidRPr="00000000">
        <w:rPr>
          <w:sz w:val="24"/>
          <w:szCs w:val="24"/>
          <w:highlight w:val="white"/>
          <w:rtl w:val="0"/>
        </w:rPr>
        <w:t xml:space="preserve">Criação do Fundo de Reparação às Vítimas de Violência Institucional</w:t>
      </w:r>
      <w:r w:rsidDel="00000000" w:rsidR="00000000" w:rsidRPr="00000000">
        <w:rPr>
          <w:sz w:val="24"/>
          <w:szCs w:val="24"/>
          <w:rtl w:val="0"/>
        </w:rPr>
        <w:t xml:space="preserve">” no anexo II, no programa 0140 - Justiça, Cidadania e Acessibilidade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A">
      <w:pPr>
        <w:spacing w:line="331.20000000000005" w:lineRule="auto"/>
        <w:ind w:left="0" w:firstLine="0"/>
        <w:jc w:val="both"/>
        <w:rPr>
          <w:color w:val="222222"/>
          <w:sz w:val="24"/>
          <w:szCs w:val="24"/>
        </w:rPr>
      </w:pPr>
      <w:r w:rsidDel="00000000" w:rsidR="00000000" w:rsidRPr="00000000">
        <w:rPr>
          <w:rtl w:val="0"/>
        </w:rPr>
      </w:r>
    </w:p>
    <w:tbl>
      <w:tblPr>
        <w:tblStyle w:val="Table1"/>
        <w:tblW w:w="11685.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5"/>
        <w:gridCol w:w="1170"/>
        <w:gridCol w:w="1455"/>
        <w:gridCol w:w="2715"/>
        <w:gridCol w:w="1005"/>
        <w:gridCol w:w="1335"/>
        <w:gridCol w:w="1350"/>
        <w:tblGridChange w:id="0">
          <w:tblGrid>
            <w:gridCol w:w="2655"/>
            <w:gridCol w:w="1170"/>
            <w:gridCol w:w="1455"/>
            <w:gridCol w:w="2715"/>
            <w:gridCol w:w="1005"/>
            <w:gridCol w:w="1335"/>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color w:val="222222"/>
                <w:sz w:val="24"/>
                <w:szCs w:val="24"/>
                <w:rtl w:val="0"/>
              </w:rPr>
              <w:t xml:space="preserve">0140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spacing w:line="240" w:lineRule="auto"/>
              <w:jc w:val="both"/>
              <w:rPr>
                <w:color w:val="222222"/>
                <w:sz w:val="24"/>
                <w:szCs w:val="24"/>
              </w:rPr>
            </w:pPr>
            <w:r w:rsidDel="00000000" w:rsidR="00000000" w:rsidRPr="00000000">
              <w:rPr>
                <w:sz w:val="24"/>
                <w:szCs w:val="24"/>
                <w:rtl w:val="0"/>
              </w:rPr>
              <w:t xml:space="preserve">“</w:t>
            </w:r>
            <w:r w:rsidDel="00000000" w:rsidR="00000000" w:rsidRPr="00000000">
              <w:rPr>
                <w:sz w:val="24"/>
                <w:szCs w:val="24"/>
                <w:highlight w:val="white"/>
                <w:rtl w:val="0"/>
              </w:rPr>
              <w:t xml:space="preserve">Criação do Fundo de Reparação às Vítimas de Violência Institucional</w:t>
            </w:r>
            <w:r w:rsidDel="00000000" w:rsidR="00000000" w:rsidRPr="00000000">
              <w:rPr>
                <w:sz w:val="24"/>
                <w:szCs w:val="24"/>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4"/>
                <w:szCs w:val="24"/>
              </w:rPr>
            </w:pPr>
            <w:r w:rsidDel="00000000" w:rsidR="00000000" w:rsidRPr="00000000">
              <w:rPr>
                <w:b w:val="1"/>
                <w:color w:val="222222"/>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color w:val="222222"/>
                <w:sz w:val="24"/>
                <w:szCs w:val="24"/>
                <w:rtl w:val="0"/>
              </w:rPr>
              <w:t xml:space="preserve">Fundo criado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color w:val="222222"/>
                <w:sz w:val="24"/>
                <w:szCs w:val="24"/>
                <w:rtl w:val="0"/>
              </w:rPr>
              <w:t xml:space="preserve">Unidade</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color w:val="222222"/>
                <w:sz w:val="24"/>
                <w:szCs w:val="24"/>
                <w:rtl w:val="0"/>
              </w:rPr>
              <w:t xml:space="preserve">1</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22222"/>
                <w:sz w:val="24"/>
                <w:szCs w:val="24"/>
              </w:rPr>
            </w:pPr>
            <w:r w:rsidDel="00000000" w:rsidR="00000000" w:rsidRPr="00000000">
              <w:rPr>
                <w:b w:val="1"/>
                <w:color w:val="222222"/>
                <w:sz w:val="24"/>
                <w:szCs w:val="24"/>
                <w:rtl w:val="0"/>
              </w:rPr>
              <w:t xml:space="preserve">R$ 5.000.000,00</w:t>
            </w:r>
          </w:p>
        </w:tc>
      </w:tr>
    </w:tbl>
    <w:p w:rsidR="00000000" w:rsidDel="00000000" w:rsidP="00000000" w:rsidRDefault="00000000" w:rsidRPr="00000000" w14:paraId="00000027">
      <w:pPr>
        <w:spacing w:line="331.20000000000005" w:lineRule="auto"/>
        <w:ind w:left="0" w:firstLine="0"/>
        <w:jc w:val="both"/>
        <w:rPr>
          <w:color w:val="222222"/>
          <w:sz w:val="24"/>
          <w:szCs w:val="24"/>
        </w:rPr>
      </w:pPr>
      <w:r w:rsidDel="00000000" w:rsidR="00000000" w:rsidRPr="00000000">
        <w:rPr>
          <w:rtl w:val="0"/>
        </w:rPr>
      </w:r>
    </w:p>
    <w:p w:rsidR="00000000" w:rsidDel="00000000" w:rsidP="00000000" w:rsidRDefault="00000000" w:rsidRPr="00000000" w14:paraId="00000028">
      <w:pPr>
        <w:spacing w:line="331.20000000000005"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R$ 5.000.000,00 (cinco milhões de reais).</w:t>
      </w:r>
    </w:p>
    <w:p w:rsidR="00000000" w:rsidDel="00000000" w:rsidP="00000000" w:rsidRDefault="00000000" w:rsidRPr="00000000" w14:paraId="00000029">
      <w:pPr>
        <w:spacing w:line="331.20000000000005" w:lineRule="auto"/>
        <w:jc w:val="right"/>
        <w:rPr>
          <w:color w:val="222222"/>
          <w:sz w:val="24"/>
          <w:szCs w:val="24"/>
        </w:rPr>
      </w:pPr>
      <w:r w:rsidDel="00000000" w:rsidR="00000000" w:rsidRPr="00000000">
        <w:rPr>
          <w:rtl w:val="0"/>
        </w:rPr>
      </w:r>
    </w:p>
    <w:p w:rsidR="00000000" w:rsidDel="00000000" w:rsidP="00000000" w:rsidRDefault="00000000" w:rsidRPr="00000000" w14:paraId="0000002A">
      <w:pPr>
        <w:spacing w:line="331.20000000000005"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B">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C">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D">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E">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F">
      <w:pPr>
        <w:spacing w:line="331.20000000000005"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30">
      <w:pPr>
        <w:spacing w:line="331.20000000000005"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1">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2">
      <w:pPr>
        <w:spacing w:line="331.20000000000005"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3">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4">
      <w:pPr>
        <w:spacing w:line="240" w:lineRule="auto"/>
        <w:ind w:firstLine="720"/>
        <w:rPr>
          <w:sz w:val="24"/>
          <w:szCs w:val="24"/>
        </w:rPr>
      </w:pPr>
      <w:r w:rsidDel="00000000" w:rsidR="00000000" w:rsidRPr="00000000">
        <w:rPr>
          <w:sz w:val="24"/>
          <w:szCs w:val="24"/>
          <w:rtl w:val="0"/>
        </w:rPr>
        <w:t xml:space="preserve">Atualmente, no Brasil, são assassinadas mais de 60.000 pessoas, sendo a enorme maioria de jovens negros moradores das periferias. A cada dia, no Rio de Janeiro, são em média 5 novas mães que choram a morte de seus filhos. Em 2019, foram 1814 assassinatos em nome da lei, o mais alto índice histórico de letalidade promovido pelas forças do Estado, segundo dados do Instituto de Segurança Pública. Nenhum país do mundo mata tantos civis em seu próprio território quanto o Brasil.</w:t>
      </w:r>
    </w:p>
    <w:p w:rsidR="00000000" w:rsidDel="00000000" w:rsidP="00000000" w:rsidRDefault="00000000" w:rsidRPr="00000000" w14:paraId="00000035">
      <w:pPr>
        <w:spacing w:before="200" w:line="240" w:lineRule="auto"/>
        <w:ind w:firstLine="708"/>
        <w:jc w:val="both"/>
        <w:rPr>
          <w:sz w:val="24"/>
          <w:szCs w:val="24"/>
        </w:rPr>
      </w:pPr>
      <w:r w:rsidDel="00000000" w:rsidR="00000000" w:rsidRPr="00000000">
        <w:rPr>
          <w:sz w:val="24"/>
          <w:szCs w:val="24"/>
          <w:rtl w:val="0"/>
        </w:rPr>
        <w:t xml:space="preserve"> Em Niterói o quadro não é diferente: em 2019, também de acordo com dados do ISP, a polícia foi responsável por nada menos que 60% dos homicídios registrados naquele ano na cidade; dos mortos por agentes do Estado na cidade, 86% são jovens negros, ainda segundo o ISP (números de 2018, últimos disponíveis com essa segmentação). </w:t>
      </w:r>
    </w:p>
    <w:p w:rsidR="00000000" w:rsidDel="00000000" w:rsidP="00000000" w:rsidRDefault="00000000" w:rsidRPr="00000000" w14:paraId="00000036">
      <w:pPr>
        <w:spacing w:before="200" w:line="240" w:lineRule="auto"/>
        <w:ind w:firstLine="708"/>
        <w:jc w:val="both"/>
        <w:rPr>
          <w:sz w:val="24"/>
          <w:szCs w:val="24"/>
        </w:rPr>
      </w:pPr>
      <w:r w:rsidDel="00000000" w:rsidR="00000000" w:rsidRPr="00000000">
        <w:rPr>
          <w:sz w:val="24"/>
          <w:szCs w:val="24"/>
          <w:rtl w:val="0"/>
        </w:rPr>
        <w:t xml:space="preserve">As favelas e periferias do país têm vivido um cotidiano de mortes e violações de direitos, com o uso de um enorme aparato bélico, incluindo caveirões e helicópteros que disparam do ar, colocando a vida de milhares de pessoas em risco, suspendendo o direito de ir e vir dos moradores, submetendo-os a invasões de casas e "esculachos", tirando fotografias de suas identidades, revistando seus celulares, torturando presos e assassinando centenas de pessoas. Com os novos governos estaduais e federal, vivemos um agravamento do modelo baseado no uso da força, que promove, em nome de uma suposta garantia da lei e da ordem, inúmeras violações de direitos humanos dos moradores das milhares de favelas e periferias do Brasil. </w:t>
      </w:r>
    </w:p>
    <w:p w:rsidR="00000000" w:rsidDel="00000000" w:rsidP="00000000" w:rsidRDefault="00000000" w:rsidRPr="00000000" w14:paraId="00000037">
      <w:pPr>
        <w:spacing w:before="200" w:line="240" w:lineRule="auto"/>
        <w:ind w:firstLine="708"/>
        <w:jc w:val="both"/>
        <w:rPr>
          <w:sz w:val="24"/>
          <w:szCs w:val="24"/>
        </w:rPr>
      </w:pPr>
      <w:r w:rsidDel="00000000" w:rsidR="00000000" w:rsidRPr="00000000">
        <w:rPr>
          <w:sz w:val="24"/>
          <w:szCs w:val="24"/>
          <w:rtl w:val="0"/>
        </w:rPr>
        <w:t xml:space="preserve">Mais de 15 anos após a chacina do Morro do Estado, dezenas de pessoas continuam sendo alvo de uma política de segurança pública que acentua a produção de mortes e desigualdades no estado do Rio de Janeiro e também no Município de Niterói. Todas essas pessoas tinham famílias, sonhos, uma vida. Quando um ente morre, além da dor e da saudade, a luta pela sobrevivência fica afetada. Composta majoritariamente por mulheres negras de periferias e favelas, a categoria “vítimas de violência institucional” se agrava quando avançamos na leitura sobre o perfil destas pessoas. São as mulheres negras que acumulam os piores indicadores sociais no Brasil. No trabalho, elas recebem os menores salários e têm os mais altos índices de desemprego. Em casa, são as que mais sofrem com a violência e as que têm maior responsabilidade no sustento familiar. Na saúde, são vítimas preferenciais da violência obstétrica, do descaso nos serviços públicos e da criminalização do aborto. Apesar de avanços, como o aumento da escolarização de nível superior, as desigualdades persistem e exigem um olhar atento para as opressões vividas por mulheres negras. De acordo com a pesquisa "Estatísticas de gênero", do Instituto Brasileiro de Geografia e Estatística (IBGE), o percentual de mulheres brancas com ensino superior completo é 2,3 vezes maior do que o de mulheres negras. E apenas 10,4% das mulheres negras têm ensino superior completo.</w:t>
      </w:r>
    </w:p>
    <w:p w:rsidR="00000000" w:rsidDel="00000000" w:rsidP="00000000" w:rsidRDefault="00000000" w:rsidRPr="00000000" w14:paraId="00000038">
      <w:pPr>
        <w:spacing w:before="200" w:line="240" w:lineRule="auto"/>
        <w:ind w:firstLine="708"/>
        <w:jc w:val="both"/>
        <w:rPr>
          <w:sz w:val="24"/>
          <w:szCs w:val="24"/>
        </w:rPr>
      </w:pPr>
      <w:r w:rsidDel="00000000" w:rsidR="00000000" w:rsidRPr="00000000">
        <w:rPr>
          <w:sz w:val="24"/>
          <w:szCs w:val="24"/>
          <w:rtl w:val="0"/>
        </w:rPr>
        <w:t xml:space="preserve">A dificuldade no acesso à educação se reflete no mercado de trabalho. Restam às mulheres negras as posições de menor prestígio e remuneração. De acordo com o “Dossiê Mulheres Negras: retrato das condições de vida das mulheres negras no Brasil”, do Instituto de Pesquisa Econômica Aplicada (Ipea), elas estão sobrerrepresentadas no trabalho doméstico – são 57,6% dos trabalhadores nesta posição –, têm a menor presença em posições com mais seguridade social, como o emprego com carteira assinada, e são as que mais sofrem durante as crises econômicas. Entre 2014 e 2017, a taxa de desemprego entre as mulheres negras passou de 9,2% para 15,9%. Entre os homens brancos, a desocupação também cresceu, passando de 4,6% a 8,5%, mas os patamares ainda são bastante diferentes. Os dados são da economista e professora da Unicamp Marilane Teixeira, com base do Instituto Brasileiro de Geografia e Estatística (IBGE). </w:t>
      </w:r>
    </w:p>
    <w:p w:rsidR="00000000" w:rsidDel="00000000" w:rsidP="00000000" w:rsidRDefault="00000000" w:rsidRPr="00000000" w14:paraId="00000039">
      <w:pPr>
        <w:spacing w:before="200" w:line="240" w:lineRule="auto"/>
        <w:ind w:firstLine="708"/>
        <w:jc w:val="both"/>
        <w:rPr>
          <w:sz w:val="24"/>
          <w:szCs w:val="24"/>
        </w:rPr>
      </w:pPr>
      <w:r w:rsidDel="00000000" w:rsidR="00000000" w:rsidRPr="00000000">
        <w:rPr>
          <w:sz w:val="24"/>
          <w:szCs w:val="24"/>
          <w:rtl w:val="0"/>
        </w:rPr>
        <w:t xml:space="preserve">Medidas como esta reforçam o entendimento de que cabe ao estado produzir políticas públicas que produzam garantia de direitos, e não de mais mortes. Desta forma, entende-se que as mulheres negras que representam maioria dentro da categoria de familiares de vítimas de violência institucional estão alocadas na base da pirâmide social fluminense, necessitando - deste modo - acessar ferramentas de acesso a emprego, renda, saúde, educação, cultura e lazer. Difundir e promover uma política de memória e reparação é também responsabilidade do estado do Rio de Janeiro. </w:t>
      </w:r>
    </w:p>
    <w:p w:rsidR="00000000" w:rsidDel="00000000" w:rsidP="00000000" w:rsidRDefault="00000000" w:rsidRPr="00000000" w14:paraId="0000003A">
      <w:pPr>
        <w:spacing w:before="200" w:line="240" w:lineRule="auto"/>
        <w:ind w:firstLine="708"/>
        <w:jc w:val="both"/>
        <w:rPr>
          <w:b w:val="1"/>
        </w:rPr>
      </w:pPr>
      <w:r w:rsidDel="00000000" w:rsidR="00000000" w:rsidRPr="00000000">
        <w:rPr>
          <w:sz w:val="24"/>
          <w:szCs w:val="24"/>
          <w:rtl w:val="0"/>
        </w:rPr>
        <w:t xml:space="preserve">O Município de Niterói possui responsabilidade para com essas vítimas na medida em que despende considerável parte de seu orçamento anual justamente à manutenção e ampliação das políticas de segurança pública na cidade, podendo-se resgatar, a título de exemplo, as gratificações eventuais concedidas pelo Município aos agentes de segurança em atuação por aqui, bem como os recursos destinados a reformas em delegacias e postos policiais, à compra de viaturas e até mesmo o pagamento direto dos soldos de policiais militares. Registre-se, ainda, que foi largamente noticiado pela mídia que a Prefeitura de Niterói está apoiando a atual ocupação do Complexo do Viradouro (a qual viola determinação do STF) por meio do Proeis, programa no qual o Município contrata policiais em folga para trabalhar na cidade. Neste diapasão, faz-se mister ressaltar que a Lei Municipal 3263/2017, que dispõe sobre o Sistema Único de Assistência Social (SUAS) Niterói, em seu art. 32 e seguintes, prevê a possibilidade de prestação, pelo Executivo municipal, de benefício eventual aos indivíduos e às famílias em virtude de nascimento, morte, situações de vulnerabilidade temporária e calamidade pública, podendo este ser prestado em forma de pecúnia, bens de consumo ou prestação de serviços. Desta feita, temos que o Município de Niterói, mais que mero incentivador, tem atuado (a despeito das considerações acerca da constitucionalidade de tal atuação) também como ente formulador e mesmo executor não apenas de políticas de segurança em um sentido mais amplo, mas também de políticas de policiamento, razão pela qual deve se responsabilizar por eventuais violações de direitos humanos cometidos, direta ou indiretamente, com patrocínio oficial do Executivo niteroiense.</w:t>
      </w:r>
      <w:r w:rsidDel="00000000" w:rsidR="00000000" w:rsidRPr="00000000">
        <w:rPr>
          <w:rtl w:val="0"/>
        </w:rPr>
      </w:r>
    </w:p>
    <w:sectPr>
      <w:headerReference r:id="rId6" w:type="default"/>
      <w:pgSz w:h="16834" w:w="11909"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D">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E">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