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keepNext w:val="0"/>
        <w:keepLines w:val="0"/>
        <w:shd w:fill="ffffff" w:val="clear"/>
        <w:spacing w:after="160" w:line="211.76470588235293" w:lineRule="auto"/>
        <w:jc w:val="center"/>
        <w:rPr>
          <w:b w:val="1"/>
        </w:rPr>
      </w:pPr>
      <w:bookmarkStart w:colFirst="0" w:colLast="0" w:name="_ml9a2hjdzwx" w:id="0"/>
      <w:bookmarkEnd w:id="0"/>
      <w:r w:rsidDel="00000000" w:rsidR="00000000" w:rsidRPr="00000000">
        <w:rPr>
          <w:rFonts w:ascii="Times New Roman" w:cs="Times New Roman" w:eastAsia="Times New Roman" w:hAnsi="Times New Roman"/>
          <w:b w:val="1"/>
          <w:sz w:val="24"/>
          <w:szCs w:val="24"/>
          <w:rtl w:val="0"/>
        </w:rPr>
        <w:t xml:space="preserve">Projeto de Lei N°    /2021</w:t>
      </w:r>
      <w:r w:rsidDel="00000000" w:rsidR="00000000" w:rsidRPr="00000000">
        <w:rPr>
          <w:rtl w:val="0"/>
        </w:rPr>
      </w:r>
    </w:p>
    <w:p w:rsidR="00000000" w:rsidDel="00000000" w:rsidP="00000000" w:rsidRDefault="00000000" w:rsidRPr="00000000" w14:paraId="00000002">
      <w:pPr>
        <w:spacing w:line="360" w:lineRule="auto"/>
        <w:ind w:left="4320" w:firstLine="0"/>
        <w:jc w:val="both"/>
        <w:rPr/>
      </w:pPr>
      <w:r w:rsidDel="00000000" w:rsidR="00000000" w:rsidRPr="00000000">
        <w:rPr>
          <w:b w:val="1"/>
          <w:rtl w:val="0"/>
        </w:rPr>
        <w:t xml:space="preserve">Autoriza o Executivo a adaptar as bibliotecas públicas municipais para acessibilidade de indivíduos portadores de Transtorno do Espectro Autista (TEA)</w:t>
      </w:r>
      <w:r w:rsidDel="00000000" w:rsidR="00000000" w:rsidRPr="00000000">
        <w:rPr>
          <w:rtl w:val="0"/>
        </w:rPr>
        <w:t xml:space="preserve">.</w:t>
      </w:r>
    </w:p>
    <w:p w:rsidR="00000000" w:rsidDel="00000000" w:rsidP="00000000" w:rsidRDefault="00000000" w:rsidRPr="00000000" w14:paraId="00000003">
      <w:pPr>
        <w:spacing w:line="360" w:lineRule="auto"/>
        <w:jc w:val="both"/>
        <w:rPr/>
      </w:pPr>
      <w:r w:rsidDel="00000000" w:rsidR="00000000" w:rsidRPr="00000000">
        <w:rPr>
          <w:rtl w:val="0"/>
        </w:rPr>
      </w:r>
    </w:p>
    <w:p w:rsidR="00000000" w:rsidDel="00000000" w:rsidP="00000000" w:rsidRDefault="00000000" w:rsidRPr="00000000" w14:paraId="00000004">
      <w:pPr>
        <w:spacing w:line="360" w:lineRule="auto"/>
        <w:jc w:val="both"/>
        <w:rPr/>
      </w:pPr>
      <w:r w:rsidDel="00000000" w:rsidR="00000000" w:rsidRPr="00000000">
        <w:rPr>
          <w:rtl w:val="0"/>
        </w:rPr>
        <w:t xml:space="preserve">Art 1º As bibliotecas públicas municipais deverão contar com espaços de acessibilidade, atividades e equipamentos para indivíduos portadores de Transtorno do Espectro Autista (TEA).</w:t>
      </w:r>
    </w:p>
    <w:p w:rsidR="00000000" w:rsidDel="00000000" w:rsidP="00000000" w:rsidRDefault="00000000" w:rsidRPr="00000000" w14:paraId="00000005">
      <w:pPr>
        <w:spacing w:line="360" w:lineRule="auto"/>
        <w:jc w:val="both"/>
        <w:rPr/>
      </w:pPr>
      <w:r w:rsidDel="00000000" w:rsidR="00000000" w:rsidRPr="00000000">
        <w:rPr>
          <w:rtl w:val="0"/>
        </w:rPr>
      </w:r>
    </w:p>
    <w:p w:rsidR="00000000" w:rsidDel="00000000" w:rsidP="00000000" w:rsidRDefault="00000000" w:rsidRPr="00000000" w14:paraId="00000006">
      <w:pPr>
        <w:spacing w:line="360" w:lineRule="auto"/>
        <w:jc w:val="both"/>
        <w:rPr/>
      </w:pPr>
      <w:r w:rsidDel="00000000" w:rsidR="00000000" w:rsidRPr="00000000">
        <w:rPr>
          <w:rtl w:val="0"/>
        </w:rPr>
        <w:t xml:space="preserve">§ 1º Entende-se como atividades e equipamentos:</w:t>
      </w:r>
    </w:p>
    <w:p w:rsidR="00000000" w:rsidDel="00000000" w:rsidP="00000000" w:rsidRDefault="00000000" w:rsidRPr="00000000" w14:paraId="00000007">
      <w:pPr>
        <w:spacing w:line="360" w:lineRule="auto"/>
        <w:jc w:val="both"/>
        <w:rPr/>
      </w:pPr>
      <w:r w:rsidDel="00000000" w:rsidR="00000000" w:rsidRPr="00000000">
        <w:rPr>
          <w:rtl w:val="0"/>
        </w:rPr>
        <w:t xml:space="preserve">I - Aparelhos eletrônicos para jogos e programas educativos</w:t>
      </w:r>
    </w:p>
    <w:p w:rsidR="00000000" w:rsidDel="00000000" w:rsidP="00000000" w:rsidRDefault="00000000" w:rsidRPr="00000000" w14:paraId="00000008">
      <w:pPr>
        <w:spacing w:line="360" w:lineRule="auto"/>
        <w:jc w:val="both"/>
        <w:rPr/>
      </w:pPr>
      <w:r w:rsidDel="00000000" w:rsidR="00000000" w:rsidRPr="00000000">
        <w:rPr>
          <w:rtl w:val="0"/>
        </w:rPr>
        <w:t xml:space="preserve">II - Atividades lúdicas e equipamentos necessários para sua realização</w:t>
      </w:r>
    </w:p>
    <w:p w:rsidR="00000000" w:rsidDel="00000000" w:rsidP="00000000" w:rsidRDefault="00000000" w:rsidRPr="00000000" w14:paraId="00000009">
      <w:pPr>
        <w:spacing w:line="360" w:lineRule="auto"/>
        <w:jc w:val="both"/>
        <w:rPr/>
      </w:pPr>
      <w:r w:rsidDel="00000000" w:rsidR="00000000" w:rsidRPr="00000000">
        <w:rPr>
          <w:rtl w:val="0"/>
        </w:rPr>
        <w:t xml:space="preserve">II - Disponibilização de PECS para independência e funcionalidade na comunicação</w:t>
      </w:r>
    </w:p>
    <w:p w:rsidR="00000000" w:rsidDel="00000000" w:rsidP="00000000" w:rsidRDefault="00000000" w:rsidRPr="00000000" w14:paraId="0000000A">
      <w:pPr>
        <w:spacing w:line="360" w:lineRule="auto"/>
        <w:jc w:val="both"/>
        <w:rPr/>
      </w:pPr>
      <w:r w:rsidDel="00000000" w:rsidR="00000000" w:rsidRPr="00000000">
        <w:rPr>
          <w:rtl w:val="0"/>
        </w:rPr>
      </w:r>
    </w:p>
    <w:p w:rsidR="00000000" w:rsidDel="00000000" w:rsidP="00000000" w:rsidRDefault="00000000" w:rsidRPr="00000000" w14:paraId="0000000B">
      <w:pPr>
        <w:spacing w:line="360" w:lineRule="auto"/>
        <w:jc w:val="both"/>
        <w:rPr/>
      </w:pPr>
      <w:r w:rsidDel="00000000" w:rsidR="00000000" w:rsidRPr="00000000">
        <w:rPr>
          <w:rtl w:val="0"/>
        </w:rPr>
        <w:t xml:space="preserve">§ 2º Os espaços de acessibilidade são espaços reservados que disponham de:</w:t>
      </w:r>
    </w:p>
    <w:p w:rsidR="00000000" w:rsidDel="00000000" w:rsidP="00000000" w:rsidRDefault="00000000" w:rsidRPr="00000000" w14:paraId="0000000C">
      <w:pPr>
        <w:spacing w:line="360" w:lineRule="auto"/>
        <w:jc w:val="both"/>
        <w:rPr/>
      </w:pPr>
      <w:r w:rsidDel="00000000" w:rsidR="00000000" w:rsidRPr="00000000">
        <w:rPr>
          <w:rtl w:val="0"/>
        </w:rPr>
        <w:t xml:space="preserve">I - Kits sensoriais</w:t>
      </w:r>
    </w:p>
    <w:p w:rsidR="00000000" w:rsidDel="00000000" w:rsidP="00000000" w:rsidRDefault="00000000" w:rsidRPr="00000000" w14:paraId="0000000D">
      <w:pPr>
        <w:spacing w:line="360" w:lineRule="auto"/>
        <w:jc w:val="both"/>
        <w:rPr/>
      </w:pPr>
      <w:r w:rsidDel="00000000" w:rsidR="00000000" w:rsidRPr="00000000">
        <w:rPr>
          <w:rtl w:val="0"/>
        </w:rPr>
        <w:t xml:space="preserve">II - Abafadores de ruído externo</w:t>
      </w:r>
    </w:p>
    <w:p w:rsidR="00000000" w:rsidDel="00000000" w:rsidP="00000000" w:rsidRDefault="00000000" w:rsidRPr="00000000" w14:paraId="0000000E">
      <w:pPr>
        <w:spacing w:line="360" w:lineRule="auto"/>
        <w:jc w:val="both"/>
        <w:rPr/>
      </w:pPr>
      <w:r w:rsidDel="00000000" w:rsidR="00000000" w:rsidRPr="00000000">
        <w:rPr>
          <w:rtl w:val="0"/>
        </w:rPr>
      </w:r>
    </w:p>
    <w:p w:rsidR="00000000" w:rsidDel="00000000" w:rsidP="00000000" w:rsidRDefault="00000000" w:rsidRPr="00000000" w14:paraId="0000000F">
      <w:pPr>
        <w:spacing w:line="360" w:lineRule="auto"/>
        <w:jc w:val="both"/>
        <w:rPr/>
      </w:pPr>
      <w:r w:rsidDel="00000000" w:rsidR="00000000" w:rsidRPr="00000000">
        <w:rPr>
          <w:rtl w:val="0"/>
        </w:rPr>
        <w:t xml:space="preserve">Art 2º Ficará a cargo do órgão competente promover o treinamento e capacitação, dos bibliotecários, estagiários, monitores e outros funcionários das bibliotecas, sobre autismo e interação com pessoas portadoras do Transtorno do Espectro Autista.</w:t>
      </w:r>
    </w:p>
    <w:p w:rsidR="00000000" w:rsidDel="00000000" w:rsidP="00000000" w:rsidRDefault="00000000" w:rsidRPr="00000000" w14:paraId="00000010">
      <w:pPr>
        <w:spacing w:line="360" w:lineRule="auto"/>
        <w:jc w:val="both"/>
        <w:rPr/>
      </w:pPr>
      <w:r w:rsidDel="00000000" w:rsidR="00000000" w:rsidRPr="00000000">
        <w:rPr>
          <w:rtl w:val="0"/>
        </w:rPr>
      </w:r>
    </w:p>
    <w:p w:rsidR="00000000" w:rsidDel="00000000" w:rsidP="00000000" w:rsidRDefault="00000000" w:rsidRPr="00000000" w14:paraId="00000011">
      <w:pPr>
        <w:spacing w:line="360" w:lineRule="auto"/>
        <w:jc w:val="both"/>
        <w:rPr/>
      </w:pPr>
      <w:r w:rsidDel="00000000" w:rsidR="00000000" w:rsidRPr="00000000">
        <w:rPr>
          <w:rtl w:val="0"/>
        </w:rPr>
        <w:t xml:space="preserve">Art 3º São objetivos desta lei:</w:t>
      </w:r>
    </w:p>
    <w:p w:rsidR="00000000" w:rsidDel="00000000" w:rsidP="00000000" w:rsidRDefault="00000000" w:rsidRPr="00000000" w14:paraId="00000012">
      <w:pPr>
        <w:spacing w:line="360" w:lineRule="auto"/>
        <w:jc w:val="both"/>
        <w:rPr/>
      </w:pPr>
      <w:r w:rsidDel="00000000" w:rsidR="00000000" w:rsidRPr="00000000">
        <w:rPr>
          <w:rtl w:val="0"/>
        </w:rPr>
        <w:t xml:space="preserve">I - desenvolver políticas de inclusão voltadas a portadores de Transtorno do Espectro Autista.</w:t>
      </w:r>
    </w:p>
    <w:p w:rsidR="00000000" w:rsidDel="00000000" w:rsidP="00000000" w:rsidRDefault="00000000" w:rsidRPr="00000000" w14:paraId="00000013">
      <w:pPr>
        <w:spacing w:line="360" w:lineRule="auto"/>
        <w:jc w:val="both"/>
        <w:rPr/>
      </w:pPr>
      <w:r w:rsidDel="00000000" w:rsidR="00000000" w:rsidRPr="00000000">
        <w:rPr>
          <w:rtl w:val="0"/>
        </w:rPr>
        <w:t xml:space="preserve">II - implementar a formação e capacitação de bibliotecários, estagiários, monitores e profissionais da área sobre autismo e interação com pessoas portadoras do Transtorno do Espectro Autista.</w:t>
      </w:r>
    </w:p>
    <w:p w:rsidR="00000000" w:rsidDel="00000000" w:rsidP="00000000" w:rsidRDefault="00000000" w:rsidRPr="00000000" w14:paraId="00000014">
      <w:pPr>
        <w:spacing w:line="360" w:lineRule="auto"/>
        <w:jc w:val="both"/>
        <w:rPr/>
      </w:pPr>
      <w:r w:rsidDel="00000000" w:rsidR="00000000" w:rsidRPr="00000000">
        <w:rPr>
          <w:rtl w:val="0"/>
        </w:rPr>
        <w:t xml:space="preserve">III - incentivo a palestras e cursos que abordem o Transtorno do Espectro Autista;</w:t>
      </w:r>
    </w:p>
    <w:p w:rsidR="00000000" w:rsidDel="00000000" w:rsidP="00000000" w:rsidRDefault="00000000" w:rsidRPr="00000000" w14:paraId="00000015">
      <w:pPr>
        <w:spacing w:line="360" w:lineRule="auto"/>
        <w:jc w:val="both"/>
        <w:rPr/>
      </w:pPr>
      <w:r w:rsidDel="00000000" w:rsidR="00000000" w:rsidRPr="00000000">
        <w:rPr>
          <w:rtl w:val="0"/>
        </w:rPr>
      </w:r>
    </w:p>
    <w:p w:rsidR="00000000" w:rsidDel="00000000" w:rsidP="00000000" w:rsidRDefault="00000000" w:rsidRPr="00000000" w14:paraId="00000016">
      <w:pPr>
        <w:spacing w:line="360" w:lineRule="auto"/>
        <w:jc w:val="both"/>
        <w:rPr/>
      </w:pPr>
      <w:r w:rsidDel="00000000" w:rsidR="00000000" w:rsidRPr="00000000">
        <w:rPr>
          <w:rtl w:val="0"/>
        </w:rPr>
      </w:r>
    </w:p>
    <w:p w:rsidR="00000000" w:rsidDel="00000000" w:rsidP="00000000" w:rsidRDefault="00000000" w:rsidRPr="00000000" w14:paraId="00000017">
      <w:pPr>
        <w:spacing w:line="360" w:lineRule="auto"/>
        <w:jc w:val="both"/>
        <w:rPr/>
      </w:pPr>
      <w:r w:rsidDel="00000000" w:rsidR="00000000" w:rsidRPr="00000000">
        <w:rPr>
          <w:rtl w:val="0"/>
        </w:rPr>
      </w:r>
    </w:p>
    <w:p w:rsidR="00000000" w:rsidDel="00000000" w:rsidP="00000000" w:rsidRDefault="00000000" w:rsidRPr="00000000" w14:paraId="00000018">
      <w:pPr>
        <w:spacing w:line="360" w:lineRule="auto"/>
        <w:jc w:val="both"/>
        <w:rPr/>
      </w:pPr>
      <w:r w:rsidDel="00000000" w:rsidR="00000000" w:rsidRPr="00000000">
        <w:rPr>
          <w:rtl w:val="0"/>
        </w:rPr>
      </w:r>
    </w:p>
    <w:p w:rsidR="00000000" w:rsidDel="00000000" w:rsidP="00000000" w:rsidRDefault="00000000" w:rsidRPr="00000000" w14:paraId="00000019">
      <w:pPr>
        <w:spacing w:line="360" w:lineRule="auto"/>
        <w:jc w:val="both"/>
        <w:rPr/>
      </w:pPr>
      <w:r w:rsidDel="00000000" w:rsidR="00000000" w:rsidRPr="00000000">
        <w:rPr>
          <w:rtl w:val="0"/>
        </w:rPr>
      </w:r>
    </w:p>
    <w:p w:rsidR="00000000" w:rsidDel="00000000" w:rsidP="00000000" w:rsidRDefault="00000000" w:rsidRPr="00000000" w14:paraId="0000001A">
      <w:pPr>
        <w:spacing w:line="360" w:lineRule="auto"/>
        <w:jc w:val="center"/>
        <w:rPr>
          <w:b w:val="1"/>
        </w:rPr>
      </w:pPr>
      <w:r w:rsidDel="00000000" w:rsidR="00000000" w:rsidRPr="00000000">
        <w:rPr>
          <w:b w:val="1"/>
          <w:rtl w:val="0"/>
        </w:rPr>
        <w:t xml:space="preserve">Walkíria Nictheroy</w:t>
      </w:r>
    </w:p>
    <w:p w:rsidR="00000000" w:rsidDel="00000000" w:rsidP="00000000" w:rsidRDefault="00000000" w:rsidRPr="00000000" w14:paraId="0000001B">
      <w:pPr>
        <w:spacing w:line="360" w:lineRule="auto"/>
        <w:jc w:val="center"/>
        <w:rPr>
          <w:b w:val="1"/>
        </w:rPr>
      </w:pPr>
      <w:r w:rsidDel="00000000" w:rsidR="00000000" w:rsidRPr="00000000">
        <w:rPr>
          <w:b w:val="1"/>
          <w:rtl w:val="0"/>
        </w:rPr>
        <w:t xml:space="preserve">Vereadora</w:t>
      </w:r>
    </w:p>
    <w:p w:rsidR="00000000" w:rsidDel="00000000" w:rsidP="00000000" w:rsidRDefault="00000000" w:rsidRPr="00000000" w14:paraId="0000001C">
      <w:pPr>
        <w:spacing w:line="360" w:lineRule="auto"/>
        <w:jc w:val="left"/>
        <w:rPr/>
      </w:pPr>
      <w:r w:rsidDel="00000000" w:rsidR="00000000" w:rsidRPr="00000000">
        <w:rPr>
          <w:rtl w:val="0"/>
        </w:rPr>
      </w:r>
    </w:p>
    <w:p w:rsidR="00000000" w:rsidDel="00000000" w:rsidP="00000000" w:rsidRDefault="00000000" w:rsidRPr="00000000" w14:paraId="0000001D">
      <w:pPr>
        <w:spacing w:line="360" w:lineRule="auto"/>
        <w:jc w:val="left"/>
        <w:rPr/>
      </w:pPr>
      <w:r w:rsidDel="00000000" w:rsidR="00000000" w:rsidRPr="00000000">
        <w:rPr>
          <w:b w:val="1"/>
          <w:rtl w:val="0"/>
        </w:rPr>
        <w:t xml:space="preserve">Justificativa</w:t>
      </w:r>
      <w:r w:rsidDel="00000000" w:rsidR="00000000" w:rsidRPr="00000000">
        <w:rPr>
          <w:rtl w:val="0"/>
        </w:rPr>
        <w:t xml:space="preserve">:</w:t>
      </w:r>
    </w:p>
    <w:p w:rsidR="00000000" w:rsidDel="00000000" w:rsidP="00000000" w:rsidRDefault="00000000" w:rsidRPr="00000000" w14:paraId="0000001E">
      <w:pPr>
        <w:spacing w:line="360" w:lineRule="auto"/>
        <w:ind w:firstLine="720"/>
        <w:jc w:val="both"/>
        <w:rPr/>
      </w:pPr>
      <w:r w:rsidDel="00000000" w:rsidR="00000000" w:rsidRPr="00000000">
        <w:rPr>
          <w:rtl w:val="0"/>
        </w:rPr>
        <w:t xml:space="preserve">O transtorno do espectro autista (TEA) se refere a um conjunto de condições que comprometem o neurodesenvolvimento de indivíduos, incluindo aspectos de linguagem, interação social, percepção, atenção e memória (OPAS, 2017). Sendo caracterizado como espectro, pode abranger sintomas de grau leve ou grave (ROCHA; FERREIRA-VASQUES; LAMÔNICA, 2019). </w:t>
      </w:r>
    </w:p>
    <w:p w:rsidR="00000000" w:rsidDel="00000000" w:rsidP="00000000" w:rsidRDefault="00000000" w:rsidRPr="00000000" w14:paraId="0000001F">
      <w:pPr>
        <w:spacing w:line="360" w:lineRule="auto"/>
        <w:ind w:firstLine="720"/>
        <w:jc w:val="both"/>
        <w:rPr/>
      </w:pPr>
      <w:r w:rsidDel="00000000" w:rsidR="00000000" w:rsidRPr="00000000">
        <w:rPr>
          <w:rtl w:val="0"/>
        </w:rPr>
        <w:t xml:space="preserve">Conforme dados divulgados pela Organização das Nações Unidas cerca de 1% da população mundial – ou uma em cada 68 crianças – apresenta algum Transtorno do Espectro Autista (ONU, 2016). Sendo assim, se considerarmos esta mesma proporção e as estimativas da população do Brasil (IBGE, 2018), é possível inferir que existem cerca de dois milhões de brasileiros portadores de TEA. </w:t>
      </w:r>
    </w:p>
    <w:p w:rsidR="00000000" w:rsidDel="00000000" w:rsidP="00000000" w:rsidRDefault="00000000" w:rsidRPr="00000000" w14:paraId="00000020">
      <w:pPr>
        <w:spacing w:line="360" w:lineRule="auto"/>
        <w:ind w:firstLine="720"/>
        <w:jc w:val="both"/>
        <w:rPr/>
      </w:pPr>
      <w:r w:rsidDel="00000000" w:rsidR="00000000" w:rsidRPr="00000000">
        <w:rPr>
          <w:rtl w:val="0"/>
        </w:rPr>
        <w:t xml:space="preserve">As bibliotecas devem estar atentas para que todos os indivíduos tenham acesso ao conhecimento, sem qualquer tipo de discriminação, disponibilizando serviços qualificados para portadores de necessidades especiais, incluindo as pessoas com Transtorno do Espetro Autista. </w:t>
      </w:r>
    </w:p>
    <w:p w:rsidR="00000000" w:rsidDel="00000000" w:rsidP="00000000" w:rsidRDefault="00000000" w:rsidRPr="00000000" w14:paraId="00000021">
      <w:pPr>
        <w:spacing w:line="360" w:lineRule="auto"/>
        <w:ind w:firstLine="720"/>
        <w:jc w:val="both"/>
        <w:rPr/>
      </w:pPr>
      <w:r w:rsidDel="00000000" w:rsidR="00000000" w:rsidRPr="00000000">
        <w:rPr>
          <w:rtl w:val="0"/>
        </w:rPr>
      </w:r>
    </w:p>
    <w:p w:rsidR="00000000" w:rsidDel="00000000" w:rsidP="00000000" w:rsidRDefault="00000000" w:rsidRPr="00000000" w14:paraId="00000022">
      <w:pPr>
        <w:spacing w:line="360" w:lineRule="auto"/>
        <w:ind w:firstLine="720"/>
        <w:jc w:val="both"/>
        <w:rPr/>
      </w:pPr>
      <w:r w:rsidDel="00000000" w:rsidR="00000000" w:rsidRPr="00000000">
        <w:rPr>
          <w:rtl w:val="0"/>
        </w:rPr>
      </w:r>
    </w:p>
    <w:p w:rsidR="00000000" w:rsidDel="00000000" w:rsidP="00000000" w:rsidRDefault="00000000" w:rsidRPr="00000000" w14:paraId="00000023">
      <w:pPr>
        <w:spacing w:line="360" w:lineRule="auto"/>
        <w:ind w:firstLine="720"/>
        <w:jc w:val="both"/>
        <w:rPr/>
      </w:pPr>
      <w:r w:rsidDel="00000000" w:rsidR="00000000" w:rsidRPr="00000000">
        <w:rPr>
          <w:rtl w:val="0"/>
        </w:rPr>
      </w:r>
    </w:p>
    <w:p w:rsidR="00000000" w:rsidDel="00000000" w:rsidP="00000000" w:rsidRDefault="00000000" w:rsidRPr="00000000" w14:paraId="00000024">
      <w:pPr>
        <w:spacing w:line="360" w:lineRule="auto"/>
        <w:ind w:firstLine="720"/>
        <w:jc w:val="both"/>
        <w:rPr/>
      </w:pPr>
      <w:r w:rsidDel="00000000" w:rsidR="00000000" w:rsidRPr="00000000">
        <w:rPr>
          <w:rtl w:val="0"/>
        </w:rPr>
      </w:r>
    </w:p>
    <w:p w:rsidR="00000000" w:rsidDel="00000000" w:rsidP="00000000" w:rsidRDefault="00000000" w:rsidRPr="00000000" w14:paraId="00000025">
      <w:pPr>
        <w:spacing w:line="360" w:lineRule="auto"/>
        <w:ind w:firstLine="720"/>
        <w:jc w:val="both"/>
        <w:rPr/>
      </w:pPr>
      <w:r w:rsidDel="00000000" w:rsidR="00000000" w:rsidRPr="00000000">
        <w:rPr>
          <w:rtl w:val="0"/>
        </w:rPr>
      </w:r>
    </w:p>
    <w:p w:rsidR="00000000" w:rsidDel="00000000" w:rsidP="00000000" w:rsidRDefault="00000000" w:rsidRPr="00000000" w14:paraId="00000026">
      <w:pPr>
        <w:spacing w:line="360" w:lineRule="auto"/>
        <w:ind w:firstLine="720"/>
        <w:jc w:val="both"/>
        <w:rPr/>
      </w:pPr>
      <w:r w:rsidDel="00000000" w:rsidR="00000000" w:rsidRPr="00000000">
        <w:rPr>
          <w:rtl w:val="0"/>
        </w:rPr>
      </w:r>
    </w:p>
    <w:p w:rsidR="00000000" w:rsidDel="00000000" w:rsidP="00000000" w:rsidRDefault="00000000" w:rsidRPr="00000000" w14:paraId="00000027">
      <w:pPr>
        <w:spacing w:line="360" w:lineRule="auto"/>
        <w:ind w:firstLine="720"/>
        <w:jc w:val="both"/>
        <w:rPr/>
      </w:pPr>
      <w:r w:rsidDel="00000000" w:rsidR="00000000" w:rsidRPr="00000000">
        <w:rPr>
          <w:rtl w:val="0"/>
        </w:rPr>
      </w:r>
    </w:p>
    <w:p w:rsidR="00000000" w:rsidDel="00000000" w:rsidP="00000000" w:rsidRDefault="00000000" w:rsidRPr="00000000" w14:paraId="00000028">
      <w:pPr>
        <w:spacing w:line="360" w:lineRule="auto"/>
        <w:ind w:left="0" w:firstLine="0"/>
        <w:jc w:val="both"/>
        <w:rPr/>
      </w:pPr>
      <w:r w:rsidDel="00000000" w:rsidR="00000000" w:rsidRPr="00000000">
        <w:rPr>
          <w:rtl w:val="0"/>
        </w:rPr>
      </w:r>
    </w:p>
    <w:p w:rsidR="00000000" w:rsidDel="00000000" w:rsidP="00000000" w:rsidRDefault="00000000" w:rsidRPr="00000000" w14:paraId="00000029">
      <w:pPr>
        <w:spacing w:line="360" w:lineRule="auto"/>
        <w:ind w:left="0" w:firstLine="0"/>
        <w:jc w:val="both"/>
        <w:rPr>
          <w:sz w:val="18"/>
          <w:szCs w:val="18"/>
        </w:rPr>
      </w:pPr>
      <w:r w:rsidDel="00000000" w:rsidR="00000000" w:rsidRPr="00000000">
        <w:rPr>
          <w:sz w:val="18"/>
          <w:szCs w:val="18"/>
          <w:rtl w:val="0"/>
        </w:rPr>
        <w:t xml:space="preserve">Fonte: FARIAS, L.L. Bibliotecas e Portadores de Transtorno do Espectro Autista: Guia  prático para acessibilidade. 2019, 45f. Trabalho de conclusão de curso (Bacharel em Biblioteconomia) – Universidade Federal do Rio Grande. Rio Grande, RS, p. 261. 2019. </w:t>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spacing w:line="276" w:lineRule="auto"/>
      <w:jc w:val="center"/>
      <w:rPr/>
    </w:pPr>
    <w:r w:rsidDel="00000000" w:rsidR="00000000" w:rsidRPr="00000000">
      <w:rPr>
        <w:rtl w:val="0"/>
      </w:rPr>
      <w:t xml:space="preserve">Av. Ernani do Amaral Peixoto, 625, gabinete 47, Centro. Niterói – RJ</w:t>
    </w:r>
  </w:p>
  <w:p w:rsidR="00000000" w:rsidDel="00000000" w:rsidP="00000000" w:rsidRDefault="00000000" w:rsidRPr="00000000" w14:paraId="0000002E">
    <w:pPr>
      <w:spacing w:line="276" w:lineRule="auto"/>
      <w:jc w:val="center"/>
      <w:rPr/>
    </w:pPr>
    <w:hyperlink r:id="rId1">
      <w:r w:rsidDel="00000000" w:rsidR="00000000" w:rsidRPr="00000000">
        <w:rPr>
          <w:color w:val="1155cc"/>
          <w:u w:val="single"/>
          <w:rtl w:val="0"/>
        </w:rPr>
        <w:t xml:space="preserve">profwalkirianictheroy@gmail.com</w:t>
      </w:r>
    </w:hyperlink>
    <w:r w:rsidDel="00000000" w:rsidR="00000000" w:rsidRPr="00000000">
      <w:rPr>
        <w:rtl w:val="0"/>
      </w:rPr>
      <w:t xml:space="preserve">. </w:t>
    </w:r>
  </w:p>
  <w:p w:rsidR="00000000" w:rsidDel="00000000" w:rsidP="00000000" w:rsidRDefault="00000000" w:rsidRPr="00000000" w14:paraId="0000002F">
    <w:pPr>
      <w:spacing w:line="276" w:lineRule="auto"/>
      <w:jc w:val="center"/>
      <w:rPr/>
    </w:pPr>
    <w:r w:rsidDel="00000000" w:rsidR="00000000" w:rsidRPr="00000000">
      <w:rPr>
        <w:rtl w:val="0"/>
      </w:rPr>
      <w:t xml:space="preserve">Tel: (21) 3716-8600 Ramal 218</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jc w:val="center"/>
      <w:rPr>
        <w:b w:val="1"/>
        <w:sz w:val="24"/>
        <w:szCs w:val="24"/>
      </w:rPr>
    </w:pPr>
    <w:r w:rsidDel="00000000" w:rsidR="00000000" w:rsidRPr="00000000">
      <w:rPr>
        <w:b w:val="1"/>
        <w:sz w:val="24"/>
        <w:szCs w:val="24"/>
      </w:rPr>
      <w:drawing>
        <wp:inline distB="114300" distT="114300" distL="114300" distR="114300">
          <wp:extent cx="609600" cy="7429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jc w:val="center"/>
      <w:rPr>
        <w:b w:val="1"/>
        <w:sz w:val="24"/>
        <w:szCs w:val="24"/>
      </w:rPr>
    </w:pPr>
    <w:r w:rsidDel="00000000" w:rsidR="00000000" w:rsidRPr="00000000">
      <w:rPr>
        <w:b w:val="1"/>
        <w:sz w:val="24"/>
        <w:szCs w:val="24"/>
        <w:rtl w:val="0"/>
      </w:rPr>
      <w:t xml:space="preserve">Câmara Municipal de Niterói</w:t>
    </w:r>
  </w:p>
  <w:p w:rsidR="00000000" w:rsidDel="00000000" w:rsidP="00000000" w:rsidRDefault="00000000" w:rsidRPr="00000000" w14:paraId="0000002C">
    <w:pPr>
      <w:jc w:val="center"/>
      <w:rPr/>
    </w:pPr>
    <w:r w:rsidDel="00000000" w:rsidR="00000000" w:rsidRPr="00000000">
      <w:rPr>
        <w:sz w:val="24"/>
        <w:szCs w:val="24"/>
        <w:rtl w:val="0"/>
      </w:rPr>
      <w:t xml:space="preserve">Gabinete da Vereadora Walkíria Nictheroy - PCdoB</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rofwalkirianictheroy@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