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9C37" w14:textId="7AE2F3E0" w:rsidR="00B227E0" w:rsidRPr="009F66F9" w:rsidRDefault="00C975B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F6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</w:t>
      </w:r>
      <w:r w:rsidR="00E54B02" w:rsidRPr="009F6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DE </w:t>
      </w:r>
      <w:r w:rsidRPr="009F6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LEI Nº</w:t>
      </w:r>
      <w:r w:rsidR="009F6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    </w:t>
      </w:r>
      <w:r w:rsidRPr="009F66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/2021</w:t>
      </w:r>
    </w:p>
    <w:p w14:paraId="617D39D6" w14:textId="77777777" w:rsidR="00D929B4" w:rsidRPr="009F66F9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FB1C3E" w14:textId="77777777" w:rsidR="009F66F9" w:rsidRDefault="009C647C" w:rsidP="0094518F">
      <w:pPr>
        <w:tabs>
          <w:tab w:val="left" w:pos="-24383"/>
        </w:tabs>
        <w:spacing w:line="360" w:lineRule="auto"/>
        <w:ind w:left="495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6F20A5CA" w14:textId="6EFF7D0C" w:rsidR="0094518F" w:rsidRPr="009F66F9" w:rsidRDefault="009C647C" w:rsidP="0094518F">
      <w:pPr>
        <w:tabs>
          <w:tab w:val="left" w:pos="-24383"/>
        </w:tabs>
        <w:spacing w:line="360" w:lineRule="auto"/>
        <w:ind w:left="495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Dispõe sobre a vedação </w:t>
      </w:r>
      <w:r w:rsidR="0094518F" w:rsidRPr="009F66F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no Município de Niterói, a publicidade que contenha alusão a gênero e orientação sexual, bem como movimentos sobre diversidade sexual relacionado</w:t>
      </w:r>
      <w:r w:rsidR="002C011D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S</w:t>
      </w:r>
      <w:r w:rsidR="0094518F" w:rsidRPr="009F66F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a crianças</w:t>
      </w:r>
      <w:r w:rsidR="00563227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 </w:t>
      </w:r>
      <w:r w:rsidR="001B632A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E ADOLESCENTES</w:t>
      </w:r>
      <w:r w:rsidR="0094518F" w:rsidRPr="009F66F9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.</w:t>
      </w:r>
    </w:p>
    <w:p w14:paraId="7324916B" w14:textId="5285176A" w:rsidR="00C975B0" w:rsidRPr="009F66F9" w:rsidRDefault="00B308FA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65E2E909" w14:textId="317D1080" w:rsidR="0094518F" w:rsidRPr="009F66F9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Artigo 1º</w:t>
      </w:r>
      <w:r w:rsidR="008D4C5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É vedado em todo o território do Município de Niterói, a publicidade, por intermédio de qualquer veículo de comunicação e mídia que contenha alusão a gênero e orientação sexual bem como movimentos sobre diversidade sexual relacionado a crianças</w:t>
      </w:r>
      <w:r w:rsidR="007C48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adolescentes</w:t>
      </w:r>
      <w:r w:rsidR="0086372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4A8400C" w14:textId="3C1FF815" w:rsidR="008D4C51" w:rsidRDefault="0094518F" w:rsidP="006D22E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Artigo 2º</w:t>
      </w:r>
      <w:r w:rsidR="008D4C5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As infrações ao disposto no artigo primeiro desta Lei serão, a princípio,</w:t>
      </w:r>
      <w:r w:rsidR="0057453D"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22EB" w:rsidRPr="006D22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multa no </w:t>
      </w:r>
      <w:r w:rsidR="00A45AB5">
        <w:rPr>
          <w:rFonts w:ascii="Times New Roman" w:hAnsi="Times New Roman" w:cs="Times New Roman"/>
          <w:bCs/>
          <w:color w:val="000000"/>
          <w:sz w:val="24"/>
          <w:szCs w:val="24"/>
        </w:rPr>
        <w:t>V</w:t>
      </w:r>
      <w:r w:rsidR="006D22EB" w:rsidRPr="006D22EB">
        <w:rPr>
          <w:rFonts w:ascii="Times New Roman" w:hAnsi="Times New Roman" w:cs="Times New Roman"/>
          <w:bCs/>
          <w:color w:val="000000"/>
          <w:sz w:val="24"/>
          <w:szCs w:val="24"/>
        </w:rPr>
        <w:t>alor de Referência M</w:t>
      </w:r>
      <w:r w:rsidR="003410F8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6D22EB" w:rsidRPr="006D22EB">
        <w:rPr>
          <w:rFonts w:ascii="Times New Roman" w:hAnsi="Times New Roman" w:cs="Times New Roman"/>
          <w:bCs/>
          <w:color w:val="000000"/>
          <w:sz w:val="24"/>
          <w:szCs w:val="24"/>
        </w:rPr>
        <w:t>0 do</w:t>
      </w:r>
      <w:r w:rsidR="006D22E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22EB" w:rsidRPr="006D22EB">
        <w:rPr>
          <w:rFonts w:ascii="Times New Roman" w:hAnsi="Times New Roman" w:cs="Times New Roman"/>
          <w:bCs/>
          <w:color w:val="000000"/>
          <w:sz w:val="24"/>
          <w:szCs w:val="24"/>
        </w:rPr>
        <w:t>Anexo I da Lei nº 2.597/08</w:t>
      </w:r>
      <w:r w:rsidR="00E2740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C829C15" w14:textId="73E67E12" w:rsidR="0094518F" w:rsidRPr="009F66F9" w:rsidRDefault="008D4C51" w:rsidP="006D22E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Parágrafo Único. </w:t>
      </w:r>
      <w:r w:rsidR="008C77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caso de </w:t>
      </w:r>
      <w:r w:rsidR="00B468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persistência </w:t>
      </w:r>
      <w:r w:rsidR="00763E0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 w:rsidR="001D6680">
        <w:rPr>
          <w:rFonts w:ascii="Times New Roman" w:hAnsi="Times New Roman" w:cs="Times New Roman"/>
          <w:bCs/>
          <w:color w:val="000000"/>
          <w:sz w:val="24"/>
          <w:szCs w:val="24"/>
        </w:rPr>
        <w:t>divulgação</w:t>
      </w:r>
      <w:r w:rsidR="00006C3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vedada</w:t>
      </w:r>
      <w:r w:rsidR="00B17D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no artigo 1º</w:t>
      </w:r>
      <w:r w:rsidR="001D66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desta lei</w:t>
      </w:r>
      <w:r w:rsidR="00763E0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006C3A">
        <w:rPr>
          <w:rFonts w:ascii="Times New Roman" w:hAnsi="Times New Roman" w:cs="Times New Roman"/>
          <w:bCs/>
          <w:color w:val="000000"/>
          <w:sz w:val="24"/>
          <w:szCs w:val="24"/>
        </w:rPr>
        <w:t>a infr</w:t>
      </w:r>
      <w:r w:rsidR="001D6680">
        <w:rPr>
          <w:rFonts w:ascii="Times New Roman" w:hAnsi="Times New Roman" w:cs="Times New Roman"/>
          <w:bCs/>
          <w:color w:val="000000"/>
          <w:sz w:val="24"/>
          <w:szCs w:val="24"/>
        </w:rPr>
        <w:t>ação será</w:t>
      </w:r>
      <w:r w:rsidR="0094518F"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 fechamento do estabelecimento que atuar na divulgação até a devida adequação ao que dispõe esta lei</w:t>
      </w:r>
      <w:r w:rsidR="008D773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93E5AED" w14:textId="407A3C68" w:rsidR="009C647C" w:rsidRPr="009F66F9" w:rsidRDefault="0094518F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Artigo 3º</w:t>
      </w:r>
      <w:r w:rsidR="008C77A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Esta Lei entrará em vigor dentro de trinta dias a contar de sua publicação.</w:t>
      </w:r>
      <w:r w:rsidRPr="009F6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  </w:t>
      </w:r>
    </w:p>
    <w:p w14:paraId="3BC32766" w14:textId="77777777" w:rsidR="00C975B0" w:rsidRPr="009F66F9" w:rsidRDefault="00C975B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</w:t>
      </w:r>
    </w:p>
    <w:p w14:paraId="76587908" w14:textId="159B9DE2" w:rsidR="0085379D" w:rsidRDefault="0085379D" w:rsidP="0085379D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5379D">
        <w:rPr>
          <w:rFonts w:ascii="Times New Roman" w:hAnsi="Times New Roman" w:cs="Times New Roman"/>
          <w:bCs/>
          <w:color w:val="000000"/>
          <w:sz w:val="24"/>
          <w:szCs w:val="24"/>
        </w:rPr>
        <w:t>O art. 227 da Constituição Federal é claro quanto ao dever não apenas da</w:t>
      </w:r>
      <w:r w:rsidR="008424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5379D">
        <w:rPr>
          <w:rFonts w:ascii="Times New Roman" w:hAnsi="Times New Roman" w:cs="Times New Roman"/>
          <w:bCs/>
          <w:color w:val="000000"/>
          <w:sz w:val="24"/>
          <w:szCs w:val="24"/>
        </w:rPr>
        <w:t>família e da sociedade, bem como do Estado em salvaguardar as crianças e os</w:t>
      </w:r>
      <w:r w:rsidR="008424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5379D">
        <w:rPr>
          <w:rFonts w:ascii="Times New Roman" w:hAnsi="Times New Roman" w:cs="Times New Roman"/>
          <w:bCs/>
          <w:color w:val="000000"/>
          <w:sz w:val="24"/>
          <w:szCs w:val="24"/>
        </w:rPr>
        <w:t>adolescentes contra toda forma de negligência, discriminação, exploração, violência,</w:t>
      </w:r>
      <w:r w:rsidR="008424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5379D">
        <w:rPr>
          <w:rFonts w:ascii="Times New Roman" w:hAnsi="Times New Roman" w:cs="Times New Roman"/>
          <w:bCs/>
          <w:color w:val="000000"/>
          <w:sz w:val="24"/>
          <w:szCs w:val="24"/>
        </w:rPr>
        <w:t>crueldade e opressão.</w:t>
      </w:r>
    </w:p>
    <w:p w14:paraId="0E049FFA" w14:textId="70FE4ADC" w:rsidR="0023714E" w:rsidRDefault="0023714E" w:rsidP="0023714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3714E">
        <w:rPr>
          <w:rFonts w:ascii="Times New Roman" w:hAnsi="Times New Roman" w:cs="Times New Roman"/>
          <w:bCs/>
          <w:color w:val="000000"/>
          <w:sz w:val="24"/>
          <w:szCs w:val="24"/>
        </w:rPr>
        <w:t>Ainda, a Constituição Federal, em seu artigo 24, inciso VII, determina 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3714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competência concorrente da União, dos Estados e Municípios para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l</w:t>
      </w:r>
      <w:r w:rsidRPr="0023714E">
        <w:rPr>
          <w:rFonts w:ascii="Times New Roman" w:hAnsi="Times New Roman" w:cs="Times New Roman"/>
          <w:bCs/>
          <w:color w:val="000000"/>
          <w:sz w:val="24"/>
          <w:szCs w:val="24"/>
        </w:rPr>
        <w:t>egislar sobre 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3714E">
        <w:rPr>
          <w:rFonts w:ascii="Times New Roman" w:hAnsi="Times New Roman" w:cs="Times New Roman"/>
          <w:bCs/>
          <w:color w:val="000000"/>
          <w:sz w:val="24"/>
          <w:szCs w:val="24"/>
        </w:rPr>
        <w:t>responsabilidade por dano ao consumidor.</w:t>
      </w:r>
    </w:p>
    <w:p w14:paraId="0A55D74D" w14:textId="52C8A46B" w:rsidR="00992360" w:rsidRPr="009F66F9" w:rsidRDefault="0099236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Cabe a família, a autonomia da educação dos filhos </w:t>
      </w:r>
      <w:r w:rsidR="0094518F"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sem que haja influência de propagandas sob as crianças no que tange a sexualidade e diversidade sexual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6BC1EEF" w14:textId="175C6E57" w:rsidR="0094518F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As publicidades que abordam diversidade sexual trazem real desconforto emocional a inúmeras famílias.</w:t>
      </w:r>
    </w:p>
    <w:p w14:paraId="5001C7FC" w14:textId="6B9FFF72" w:rsidR="007F278A" w:rsidRDefault="007F278A" w:rsidP="007F278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79E1">
        <w:rPr>
          <w:rFonts w:ascii="Times New Roman" w:hAnsi="Times New Roman" w:cs="Times New Roman"/>
          <w:bCs/>
          <w:color w:val="000000"/>
          <w:sz w:val="24"/>
          <w:szCs w:val="24"/>
        </w:rPr>
        <w:t>O objetivo do presente Projeto de Lei é proibir a publicidade através de</w:t>
      </w:r>
      <w:r w:rsidR="007C79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C79E1">
        <w:rPr>
          <w:rFonts w:ascii="Times New Roman" w:hAnsi="Times New Roman" w:cs="Times New Roman"/>
          <w:bCs/>
          <w:color w:val="000000"/>
          <w:sz w:val="24"/>
          <w:szCs w:val="24"/>
        </w:rPr>
        <w:t>qualquer veículo de comunicação e mídia, de material que contenha alusão a gênero e</w:t>
      </w:r>
      <w:r w:rsidR="007C79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C79E1">
        <w:rPr>
          <w:rFonts w:ascii="Times New Roman" w:hAnsi="Times New Roman" w:cs="Times New Roman"/>
          <w:bCs/>
          <w:color w:val="000000"/>
          <w:sz w:val="24"/>
          <w:szCs w:val="24"/>
        </w:rPr>
        <w:t>orientação sexual, ou a movimentos sobre diversidade sexual relacionados a crianças e</w:t>
      </w:r>
      <w:r w:rsidR="007C79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C79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adolescentes no </w:t>
      </w:r>
      <w:r w:rsidR="00B51A6C">
        <w:rPr>
          <w:rFonts w:ascii="Times New Roman" w:hAnsi="Times New Roman" w:cs="Times New Roman"/>
          <w:bCs/>
          <w:color w:val="000000"/>
          <w:sz w:val="24"/>
          <w:szCs w:val="24"/>
        </w:rPr>
        <w:t>Município de Niter</w:t>
      </w:r>
      <w:r w:rsidR="00E75F27">
        <w:rPr>
          <w:rFonts w:ascii="Times New Roman" w:hAnsi="Times New Roman" w:cs="Times New Roman"/>
          <w:bCs/>
          <w:color w:val="000000"/>
          <w:sz w:val="24"/>
          <w:szCs w:val="24"/>
        </w:rPr>
        <w:t>ói</w:t>
      </w:r>
      <w:r w:rsidRPr="007C79E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417AA87" w14:textId="173EED26" w:rsidR="00E16C74" w:rsidRDefault="00E16C74" w:rsidP="00E16C74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16C74">
        <w:rPr>
          <w:rFonts w:ascii="Times New Roman" w:hAnsi="Times New Roman" w:cs="Times New Roman"/>
          <w:bCs/>
          <w:color w:val="000000"/>
          <w:sz w:val="24"/>
          <w:szCs w:val="24"/>
        </w:rPr>
        <w:t>É sabido que crianças e adolescentes são particularmente sensíveis a</w:t>
      </w:r>
      <w:r w:rsidR="00B14CD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16C74">
        <w:rPr>
          <w:rFonts w:ascii="Times New Roman" w:hAnsi="Times New Roman" w:cs="Times New Roman"/>
          <w:bCs/>
          <w:color w:val="000000"/>
          <w:sz w:val="24"/>
          <w:szCs w:val="24"/>
        </w:rPr>
        <w:t>influências do ambiente, principalmente na fase da formação da personalidade e da</w:t>
      </w:r>
      <w:r w:rsidR="00286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16C74">
        <w:rPr>
          <w:rFonts w:ascii="Times New Roman" w:hAnsi="Times New Roman" w:cs="Times New Roman"/>
          <w:bCs/>
          <w:color w:val="000000"/>
          <w:sz w:val="24"/>
          <w:szCs w:val="24"/>
        </w:rPr>
        <w:t>aceitação social. Pai da propaganda, Edward Bernays afirmava que a manipulação dos</w:t>
      </w:r>
      <w:r w:rsidR="00286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16C74">
        <w:rPr>
          <w:rFonts w:ascii="Times New Roman" w:hAnsi="Times New Roman" w:cs="Times New Roman"/>
          <w:bCs/>
          <w:color w:val="000000"/>
          <w:sz w:val="24"/>
          <w:szCs w:val="24"/>
        </w:rPr>
        <w:t>hábitos e das opiniões das massas consistiam em mecanismo que controlaria a mente</w:t>
      </w:r>
      <w:r w:rsidR="00E11B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16C74">
        <w:rPr>
          <w:rFonts w:ascii="Times New Roman" w:hAnsi="Times New Roman" w:cs="Times New Roman"/>
          <w:bCs/>
          <w:color w:val="000000"/>
          <w:sz w:val="24"/>
          <w:szCs w:val="24"/>
        </w:rPr>
        <w:t>do público, ato que configuraria o verdadeiro e invisível governo.</w:t>
      </w:r>
    </w:p>
    <w:p w14:paraId="641C9009" w14:textId="33857108" w:rsidR="00795ED3" w:rsidRDefault="00795ED3" w:rsidP="00795ED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Um fato que vai de encontro aos dados manipulativos são estudos que indicam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a proporção de estudantes de ensino médio que se identificam como transgênero nos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Estados Unidos, com um crescimento de 1000% nos casos</w:t>
      </w:r>
      <w:r w:rsidR="00793772"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2"/>
      </w: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, contrariando até mesmo</w:t>
      </w:r>
      <w:r w:rsidR="002E517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as estatísticas de população transgênero feita por institutos especializados</w:t>
      </w:r>
      <w:r w:rsidR="009B34F3"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3"/>
      </w:r>
      <w:r w:rsidRPr="00795ED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14E1A92" w14:textId="1CB9B061" w:rsidR="008D46A7" w:rsidRDefault="008D46A7" w:rsidP="008D46A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D46A7">
        <w:rPr>
          <w:rFonts w:ascii="Times New Roman" w:hAnsi="Times New Roman" w:cs="Times New Roman"/>
          <w:bCs/>
          <w:color w:val="000000"/>
          <w:sz w:val="24"/>
          <w:szCs w:val="24"/>
        </w:rPr>
        <w:t>Embora acometa cerca de 0,01% da população, a banalização da disf</w:t>
      </w:r>
      <w:r w:rsidR="007A4EDD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8D46A7">
        <w:rPr>
          <w:rFonts w:ascii="Times New Roman" w:hAnsi="Times New Roman" w:cs="Times New Roman"/>
          <w:bCs/>
          <w:color w:val="000000"/>
          <w:sz w:val="24"/>
          <w:szCs w:val="24"/>
        </w:rPr>
        <w:t>ria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46A7">
        <w:rPr>
          <w:rFonts w:ascii="Times New Roman" w:hAnsi="Times New Roman" w:cs="Times New Roman"/>
          <w:bCs/>
          <w:color w:val="000000"/>
          <w:sz w:val="24"/>
          <w:szCs w:val="24"/>
        </w:rPr>
        <w:t>gênero tem ocasionado uma corrida pelo uso de hormônios bloqueadores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46A7">
        <w:rPr>
          <w:rFonts w:ascii="Times New Roman" w:hAnsi="Times New Roman" w:cs="Times New Roman"/>
          <w:bCs/>
          <w:color w:val="000000"/>
          <w:sz w:val="24"/>
          <w:szCs w:val="24"/>
        </w:rPr>
        <w:t>puberdade e outras práticas e sugestões extremamente danosas.</w:t>
      </w:r>
    </w:p>
    <w:p w14:paraId="1AB036E8" w14:textId="4FAB3320" w:rsidR="00317029" w:rsidRDefault="00317029" w:rsidP="00317029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17029">
        <w:rPr>
          <w:rFonts w:ascii="Times New Roman" w:hAnsi="Times New Roman" w:cs="Times New Roman"/>
          <w:bCs/>
          <w:color w:val="000000"/>
          <w:sz w:val="24"/>
          <w:szCs w:val="24"/>
        </w:rPr>
        <w:t>Em documento emitido pela Associação de Pediatria dos EUA, foi destacado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17029">
        <w:rPr>
          <w:rFonts w:ascii="Times New Roman" w:hAnsi="Times New Roman" w:cs="Times New Roman"/>
          <w:bCs/>
          <w:color w:val="000000"/>
          <w:sz w:val="24"/>
          <w:szCs w:val="24"/>
        </w:rPr>
        <w:t>que:</w:t>
      </w:r>
    </w:p>
    <w:p w14:paraId="75D52C3C" w14:textId="08091D2D" w:rsidR="00284225" w:rsidRDefault="00284225" w:rsidP="003D3998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D3998">
        <w:rPr>
          <w:rFonts w:ascii="Times New Roman" w:hAnsi="Times New Roman" w:cs="Times New Roman"/>
          <w:bCs/>
          <w:color w:val="000000"/>
          <w:sz w:val="24"/>
          <w:szCs w:val="24"/>
        </w:rPr>
        <w:t>“Segundo o Manual Diagnóstico e Estatístico</w:t>
      </w:r>
      <w:r w:rsidR="00567A97"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4"/>
      </w:r>
      <w:r w:rsidRPr="003D3998">
        <w:rPr>
          <w:rFonts w:ascii="Times New Roman" w:hAnsi="Times New Roman" w:cs="Times New Roman"/>
          <w:bCs/>
          <w:color w:val="000000"/>
          <w:sz w:val="24"/>
          <w:szCs w:val="24"/>
        </w:rPr>
        <w:t>, 98% dos meninos e 88% das meninas confusos com seu gênero aceitam seu sexo biológico naturalmente ao passar pela puberdade” (tradução livre)</w:t>
      </w:r>
      <w:r w:rsidR="00567A97"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5"/>
      </w:r>
      <w:r w:rsidR="00567A97" w:rsidRPr="003D399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BCFC8CC" w14:textId="7D84B138" w:rsidR="00407A40" w:rsidRDefault="00407A40" w:rsidP="00407A40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07A4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“As taxas de suicídio são quase vinte vezes maiores entre os adultos que usam hormônios do sexo oposto e passam por cirurgias de mudança de sexo, mesmo na Suécia</w:t>
      </w:r>
      <w:r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6"/>
      </w:r>
      <w:r w:rsidRPr="00407A40">
        <w:rPr>
          <w:rFonts w:ascii="Times New Roman" w:hAnsi="Times New Roman" w:cs="Times New Roman"/>
          <w:bCs/>
          <w:color w:val="000000"/>
          <w:sz w:val="24"/>
          <w:szCs w:val="24"/>
        </w:rPr>
        <w:t>, que está entre os países com políticas mais afirmativas em relação aos LGBQT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”</w:t>
      </w:r>
      <w:r w:rsidRPr="00407A4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(tradução livre)</w:t>
      </w:r>
      <w:r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7"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68FAABA" w14:textId="07F51F9D" w:rsidR="00B03DB5" w:rsidRPr="00CA5E86" w:rsidRDefault="00B03DB5" w:rsidP="00B03DB5">
      <w:pPr>
        <w:pStyle w:val="PargrafodaLista"/>
        <w:numPr>
          <w:ilvl w:val="0"/>
          <w:numId w:val="2"/>
        </w:num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A5E86">
        <w:rPr>
          <w:rFonts w:ascii="Times New Roman" w:hAnsi="Times New Roman" w:cs="Times New Roman"/>
          <w:bCs/>
          <w:color w:val="000000"/>
          <w:sz w:val="24"/>
          <w:szCs w:val="24"/>
        </w:rPr>
        <w:t>“Que pessoa razoável e compassiva condenaria crianças a esse destino, sabendo que depois da puberdade 88% das meninas e 98% dos meninos</w:t>
      </w:r>
      <w:r w:rsidR="00CA5E86" w:rsidRPr="00CA5E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A5E86">
        <w:rPr>
          <w:rFonts w:ascii="Times New Roman" w:hAnsi="Times New Roman" w:cs="Times New Roman"/>
          <w:bCs/>
          <w:color w:val="000000"/>
          <w:sz w:val="24"/>
          <w:szCs w:val="24"/>
        </w:rPr>
        <w:t>aceitarão o seu sexo real e terão saúde física e mental?</w:t>
      </w:r>
      <w:r w:rsidR="00CA5E86">
        <w:rPr>
          <w:rFonts w:ascii="Times New Roman" w:hAnsi="Times New Roman" w:cs="Times New Roman"/>
          <w:bCs/>
          <w:color w:val="000000"/>
          <w:sz w:val="24"/>
          <w:szCs w:val="24"/>
        </w:rPr>
        <w:t>”</w:t>
      </w:r>
      <w:r w:rsidRPr="00CA5E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(tradução livre)</w:t>
      </w:r>
      <w:r w:rsidR="00CA5E86"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8"/>
      </w:r>
      <w:r w:rsidRPr="00CA5E8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80E2F19" w14:textId="10DD13C7" w:rsidR="00BA6D77" w:rsidRPr="00BA6D77" w:rsidRDefault="00BA6D77" w:rsidP="00BA6D7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Há que se ressaltar, ainda, que em vários países a divulgação de qualquer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material no sentido do que estabelece este projeto de lei vem sofrendo sérias e</w:t>
      </w:r>
      <w:r w:rsidR="002D42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adequadas restrições a fim de impedir desconfortos sociais e atribulações de inúmeras</w:t>
      </w:r>
      <w:r w:rsidR="002D42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famílias e situações evitando, tanto a possibilidade, quanto a inadequada influência na</w:t>
      </w:r>
      <w:r w:rsidR="002D42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formação de jovens e crianças.</w:t>
      </w:r>
    </w:p>
    <w:p w14:paraId="30838F54" w14:textId="358BD660" w:rsidR="00BA6D77" w:rsidRPr="00BA6D77" w:rsidRDefault="00BA6D77" w:rsidP="00BA6D7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Portanto, é nossa intenção limitar a veiculação da publicidade que incentive o</w:t>
      </w:r>
      <w:r w:rsidR="002D42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consumidor do nosso </w:t>
      </w:r>
      <w:r w:rsidR="002D428F">
        <w:rPr>
          <w:rFonts w:ascii="Times New Roman" w:hAnsi="Times New Roman" w:cs="Times New Roman"/>
          <w:bCs/>
          <w:color w:val="000000"/>
          <w:sz w:val="24"/>
          <w:szCs w:val="24"/>
        </w:rPr>
        <w:t>M</w:t>
      </w:r>
      <w:r w:rsidR="00554594">
        <w:rPr>
          <w:rFonts w:ascii="Times New Roman" w:hAnsi="Times New Roman" w:cs="Times New Roman"/>
          <w:bCs/>
          <w:color w:val="000000"/>
          <w:sz w:val="24"/>
          <w:szCs w:val="24"/>
        </w:rPr>
        <w:t>unicípio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práticas danosas, sem interferir na competência</w:t>
      </w:r>
      <w:r w:rsidR="0055459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egislativa exclusiva da União, no que diz respeito à propaganda comercial, que, de</w:t>
      </w:r>
      <w:r w:rsidR="00D111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caráter geral, não impede que o</w:t>
      </w:r>
      <w:r w:rsidR="00D111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Município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legisle a respeito de assuntos específicos,</w:t>
      </w:r>
      <w:r w:rsidR="00F55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como é o caso deste Projeto de Lei.</w:t>
      </w:r>
    </w:p>
    <w:p w14:paraId="6972B645" w14:textId="55029216" w:rsidR="00BA6D77" w:rsidRPr="00BA6D77" w:rsidRDefault="00BA6D77" w:rsidP="00BA6D7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Finalmente, tendo em vista que as empresas ligadas às atividades do presente</w:t>
      </w:r>
      <w:r w:rsidR="00F55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Projeto de Lei deverão ter um prazo para se adaptar às suas disposições,</w:t>
      </w:r>
      <w:r w:rsidR="00F555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A6D77">
        <w:rPr>
          <w:rFonts w:ascii="Times New Roman" w:hAnsi="Times New Roman" w:cs="Times New Roman"/>
          <w:bCs/>
          <w:color w:val="000000"/>
          <w:sz w:val="24"/>
          <w:szCs w:val="24"/>
        </w:rPr>
        <w:t>estabelecemos a sua vigência a partir de 30 dias da data de sua publicação.</w:t>
      </w:r>
    </w:p>
    <w:p w14:paraId="39EE2A9A" w14:textId="0343E4A1" w:rsidR="0094518F" w:rsidRPr="009F66F9" w:rsidRDefault="0094518F" w:rsidP="0094518F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No mais, trata-se de prática não adequada a crianças que ainda, sequer possuem, em razão da questão de aprimoramento da leitura (5 a 10 anos) capacidade de discernimento de tais questões.</w:t>
      </w:r>
    </w:p>
    <w:p w14:paraId="46827AFB" w14:textId="77777777" w:rsidR="001D6680" w:rsidRDefault="001D668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3C91AE7" w14:textId="56A657C8" w:rsidR="00C975B0" w:rsidRPr="009F66F9" w:rsidRDefault="00C975B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Niterói, </w:t>
      </w:r>
      <w:r w:rsidR="00E3216A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j</w:t>
      </w:r>
      <w:r w:rsidR="0043471A">
        <w:rPr>
          <w:rFonts w:ascii="Times New Roman" w:hAnsi="Times New Roman" w:cs="Times New Roman"/>
          <w:bCs/>
          <w:color w:val="000000"/>
          <w:sz w:val="24"/>
          <w:szCs w:val="24"/>
        </w:rPr>
        <w:t>unh</w:t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>o de 2021.</w:t>
      </w:r>
    </w:p>
    <w:p w14:paraId="5BDCDA63" w14:textId="77777777" w:rsidR="00C975B0" w:rsidRPr="009F66F9" w:rsidRDefault="00C975B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12CE565" w14:textId="20FCD961" w:rsidR="00C975B0" w:rsidRPr="009F66F9" w:rsidRDefault="00C975B0" w:rsidP="00C975B0">
      <w:pPr>
        <w:tabs>
          <w:tab w:val="left" w:pos="-2438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  DOUGLAS DE SOUZA GOMES</w:t>
      </w:r>
    </w:p>
    <w:p w14:paraId="0F68B13A" w14:textId="005B335C" w:rsidR="00B77A0F" w:rsidRPr="009F66F9" w:rsidRDefault="00C975B0" w:rsidP="0094518F">
      <w:pPr>
        <w:tabs>
          <w:tab w:val="left" w:pos="-243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F66F9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    VEREADOR LÍDER DO PTC</w:t>
      </w:r>
      <w:r w:rsidRPr="009F66F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</w:p>
    <w:sectPr w:rsidR="00B77A0F" w:rsidRPr="009F66F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3DFD1" w14:textId="77777777" w:rsidR="00B4030F" w:rsidRDefault="00B4030F" w:rsidP="00B77A0F">
      <w:pPr>
        <w:spacing w:after="0" w:line="240" w:lineRule="auto"/>
      </w:pPr>
      <w:r>
        <w:separator/>
      </w:r>
    </w:p>
  </w:endnote>
  <w:endnote w:type="continuationSeparator" w:id="0">
    <w:p w14:paraId="14DFC8F3" w14:textId="77777777" w:rsidR="00B4030F" w:rsidRDefault="00B4030F" w:rsidP="00B77A0F">
      <w:pPr>
        <w:spacing w:after="0" w:line="240" w:lineRule="auto"/>
      </w:pPr>
      <w:r>
        <w:continuationSeparator/>
      </w:r>
    </w:p>
  </w:endnote>
  <w:endnote w:type="continuationNotice" w:id="1">
    <w:p w14:paraId="1A18755E" w14:textId="77777777" w:rsidR="00B4030F" w:rsidRDefault="00B403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2E348" w14:textId="77777777" w:rsidR="00B4030F" w:rsidRDefault="00B4030F" w:rsidP="00B77A0F">
      <w:pPr>
        <w:spacing w:after="0" w:line="240" w:lineRule="auto"/>
      </w:pPr>
      <w:r>
        <w:separator/>
      </w:r>
    </w:p>
  </w:footnote>
  <w:footnote w:type="continuationSeparator" w:id="0">
    <w:p w14:paraId="4632785E" w14:textId="77777777" w:rsidR="00B4030F" w:rsidRDefault="00B4030F" w:rsidP="00B77A0F">
      <w:pPr>
        <w:spacing w:after="0" w:line="240" w:lineRule="auto"/>
      </w:pPr>
      <w:r>
        <w:continuationSeparator/>
      </w:r>
    </w:p>
  </w:footnote>
  <w:footnote w:type="continuationNotice" w:id="1">
    <w:p w14:paraId="5CCD39A6" w14:textId="77777777" w:rsidR="00B4030F" w:rsidRDefault="00B4030F">
      <w:pPr>
        <w:spacing w:after="0" w:line="240" w:lineRule="auto"/>
      </w:pPr>
    </w:p>
  </w:footnote>
  <w:footnote w:id="2">
    <w:p w14:paraId="36193896" w14:textId="0F0F7467" w:rsidR="00793772" w:rsidRPr="009B34F3" w:rsidRDefault="00793772" w:rsidP="009B34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B34F3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9B34F3">
        <w:rPr>
          <w:rFonts w:ascii="Times New Roman" w:hAnsi="Times New Roman" w:cs="Times New Roman"/>
          <w:sz w:val="20"/>
          <w:szCs w:val="20"/>
        </w:rPr>
        <w:t xml:space="preserve"> </w:t>
      </w:r>
      <w:hyperlink r:id="rId1" w:history="1">
        <w:r w:rsidR="009B34F3" w:rsidRPr="009B34F3">
          <w:rPr>
            <w:rStyle w:val="Hyperlink"/>
            <w:rFonts w:ascii="Times New Roman" w:hAnsi="Times New Roman" w:cs="Times New Roman"/>
            <w:sz w:val="20"/>
            <w:szCs w:val="20"/>
          </w:rPr>
          <w:t>https://www.gazetadopovo.com.br/ideias/danos-irreversiveis-o-Iivro-que-denuncia-a-epidemia-transgenero-entre-as-adolescentes/</w:t>
        </w:r>
      </w:hyperlink>
      <w:r w:rsidR="009B34F3" w:rsidRPr="009B34F3">
        <w:rPr>
          <w:rFonts w:ascii="Times New Roman" w:hAnsi="Times New Roman" w:cs="Times New Roman"/>
          <w:sz w:val="20"/>
          <w:szCs w:val="20"/>
        </w:rPr>
        <w:t xml:space="preserve"> </w:t>
      </w:r>
      <w:r w:rsidRPr="009B34F3">
        <w:rPr>
          <w:rFonts w:ascii="Times New Roman" w:hAnsi="Times New Roman" w:cs="Times New Roman"/>
          <w:sz w:val="20"/>
          <w:szCs w:val="20"/>
        </w:rPr>
        <w:t xml:space="preserve"> </w:t>
      </w:r>
    </w:p>
  </w:footnote>
  <w:footnote w:id="3">
    <w:p w14:paraId="366646E6" w14:textId="3B1F76BA" w:rsidR="009B34F3" w:rsidRPr="004E57AC" w:rsidRDefault="009B34F3">
      <w:pPr>
        <w:pStyle w:val="Textodenotaderodap"/>
        <w:rPr>
          <w:rFonts w:ascii="Times New Roman" w:hAnsi="Times New Roman" w:cs="Times New Roman"/>
        </w:rPr>
      </w:pPr>
      <w:r w:rsidRPr="004E57AC">
        <w:rPr>
          <w:rStyle w:val="Refdenotaderodap"/>
          <w:rFonts w:ascii="Times New Roman" w:hAnsi="Times New Roman" w:cs="Times New Roman"/>
        </w:rPr>
        <w:footnoteRef/>
      </w:r>
      <w:r w:rsidRPr="004E57AC">
        <w:rPr>
          <w:rFonts w:ascii="Times New Roman" w:hAnsi="Times New Roman" w:cs="Times New Roman"/>
        </w:rPr>
        <w:t xml:space="preserve"> </w:t>
      </w:r>
      <w:hyperlink r:id="rId2" w:history="1">
        <w:r w:rsidR="00AE4B98" w:rsidRPr="004E57AC">
          <w:rPr>
            <w:rStyle w:val="Hyperlink"/>
            <w:rFonts w:ascii="Times New Roman" w:hAnsi="Times New Roman" w:cs="Times New Roman"/>
          </w:rPr>
          <w:t>https://williamsinstitute.law.ucla.edu/wp-content/uploads/Trans-Adults-US-Aug-2016.pdf</w:t>
        </w:r>
      </w:hyperlink>
      <w:r w:rsidR="00AE4B98" w:rsidRPr="004E57AC">
        <w:rPr>
          <w:rFonts w:ascii="Times New Roman" w:hAnsi="Times New Roman" w:cs="Times New Roman"/>
        </w:rPr>
        <w:t xml:space="preserve"> </w:t>
      </w:r>
    </w:p>
  </w:footnote>
  <w:footnote w:id="4">
    <w:p w14:paraId="055CEAA6" w14:textId="1A57548B" w:rsidR="00567A97" w:rsidRPr="003D3998" w:rsidRDefault="00567A97" w:rsidP="003D39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3998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3D3998">
        <w:rPr>
          <w:rFonts w:ascii="Times New Roman" w:hAnsi="Times New Roman" w:cs="Times New Roman"/>
          <w:sz w:val="20"/>
          <w:szCs w:val="20"/>
        </w:rPr>
        <w:t xml:space="preserve"> </w:t>
      </w:r>
      <w:r w:rsidR="003D3998" w:rsidRPr="003D3998">
        <w:rPr>
          <w:rFonts w:ascii="Times New Roman" w:hAnsi="Times New Roman" w:cs="Times New Roman"/>
          <w:sz w:val="20"/>
          <w:szCs w:val="20"/>
        </w:rPr>
        <w:t>A obra citada pelo autor pode ser conferida em: Associação Americana de Psiquiatria. Manual Diagnóstico e Estatístico de Transtornos Mentais. 5 ed. 2013.</w:t>
      </w:r>
    </w:p>
  </w:footnote>
  <w:footnote w:id="5">
    <w:p w14:paraId="25BF44E5" w14:textId="5364C697" w:rsidR="00567A97" w:rsidRPr="00E64DE0" w:rsidRDefault="00567A97">
      <w:pPr>
        <w:pStyle w:val="Textodenotaderodap"/>
        <w:rPr>
          <w:rFonts w:ascii="Times New Roman" w:hAnsi="Times New Roman" w:cs="Times New Roman"/>
        </w:rPr>
      </w:pPr>
      <w:r w:rsidRPr="00E64DE0">
        <w:rPr>
          <w:rStyle w:val="Refdenotaderodap"/>
          <w:rFonts w:ascii="Times New Roman" w:hAnsi="Times New Roman" w:cs="Times New Roman"/>
        </w:rPr>
        <w:footnoteRef/>
      </w:r>
      <w:r w:rsidRPr="00E64DE0">
        <w:rPr>
          <w:rFonts w:ascii="Times New Roman" w:hAnsi="Times New Roman" w:cs="Times New Roman"/>
        </w:rPr>
        <w:t xml:space="preserve"> </w:t>
      </w:r>
      <w:r w:rsidR="00E64DE0" w:rsidRPr="00E64DE0">
        <w:rPr>
          <w:rFonts w:ascii="Times New Roman" w:hAnsi="Times New Roman" w:cs="Times New Roman"/>
        </w:rPr>
        <w:t>AMERICAN COLLEGE OF PEDIA TRIC/ANS, op. cit., p. 1.</w:t>
      </w:r>
    </w:p>
  </w:footnote>
  <w:footnote w:id="6">
    <w:p w14:paraId="1BA87A91" w14:textId="0F90EB9F" w:rsidR="00407A40" w:rsidRDefault="00407A40" w:rsidP="00247F8D">
      <w:pPr>
        <w:autoSpaceDE w:val="0"/>
        <w:autoSpaceDN w:val="0"/>
        <w:adjustRightInd w:val="0"/>
        <w:spacing w:after="0" w:line="240" w:lineRule="auto"/>
        <w:jc w:val="both"/>
      </w:pPr>
      <w:r w:rsidRPr="00E974D2">
        <w:rPr>
          <w:rStyle w:val="Refdenotaderodap"/>
          <w:rFonts w:ascii="Times New Roman" w:hAnsi="Times New Roman" w:cs="Times New Roman"/>
          <w:sz w:val="20"/>
          <w:szCs w:val="20"/>
        </w:rPr>
        <w:footnoteRef/>
      </w:r>
      <w:r w:rsidRPr="00E974D2">
        <w:rPr>
          <w:rFonts w:ascii="Times New Roman" w:hAnsi="Times New Roman" w:cs="Times New Roman"/>
          <w:sz w:val="20"/>
          <w:szCs w:val="20"/>
        </w:rPr>
        <w:t xml:space="preserve"> </w:t>
      </w:r>
      <w:r w:rsidR="004129CD" w:rsidRPr="00247F8D">
        <w:rPr>
          <w:rFonts w:ascii="Times New Roman" w:hAnsi="Times New Roman" w:cs="Times New Roman"/>
          <w:sz w:val="20"/>
          <w:szCs w:val="20"/>
        </w:rPr>
        <w:t xml:space="preserve">Os dados citados pelo autor podem ser conferidos em: DHEJNE, C. et al.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Long-Term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Follow-Up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of</w:t>
      </w:r>
      <w:proofErr w:type="spellEnd"/>
      <w:r w:rsidR="00E974D2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Transsexual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Persons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Undergoing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Sex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Reassignment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Surgery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: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Cohort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Study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 in </w:t>
      </w:r>
      <w:proofErr w:type="spellStart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>Sweden</w:t>
      </w:r>
      <w:proofErr w:type="spellEnd"/>
      <w:r w:rsidR="004129CD" w:rsidRPr="00247F8D">
        <w:rPr>
          <w:rFonts w:ascii="Times New Roman" w:hAnsi="Times New Roman" w:cs="Times New Roman"/>
          <w:i/>
          <w:iCs/>
          <w:sz w:val="20"/>
          <w:szCs w:val="20"/>
        </w:rPr>
        <w:t xml:space="preserve">. PLOS ONE, </w:t>
      </w:r>
      <w:r w:rsidR="004129CD" w:rsidRPr="00247F8D">
        <w:rPr>
          <w:rFonts w:ascii="Times New Roman" w:hAnsi="Times New Roman" w:cs="Times New Roman"/>
          <w:sz w:val="20"/>
          <w:szCs w:val="20"/>
        </w:rPr>
        <w:t>v. 6,</w:t>
      </w:r>
      <w:r w:rsidR="0085503C" w:rsidRPr="00247F8D">
        <w:rPr>
          <w:rFonts w:ascii="Times New Roman" w:hAnsi="Times New Roman" w:cs="Times New Roman"/>
          <w:sz w:val="20"/>
          <w:szCs w:val="20"/>
        </w:rPr>
        <w:t xml:space="preserve"> </w:t>
      </w:r>
      <w:r w:rsidR="004129CD" w:rsidRPr="00247F8D">
        <w:rPr>
          <w:rFonts w:ascii="Times New Roman" w:hAnsi="Times New Roman" w:cs="Times New Roman"/>
          <w:sz w:val="20"/>
          <w:szCs w:val="20"/>
        </w:rPr>
        <w:t xml:space="preserve">n. 2. Disponível em: </w:t>
      </w:r>
      <w:hyperlink r:id="rId3" w:history="1">
        <w:r w:rsidR="00247F8D" w:rsidRPr="00CE1CD3">
          <w:rPr>
            <w:rStyle w:val="Hyperlink"/>
            <w:rFonts w:ascii="Times New Roman" w:hAnsi="Times New Roman" w:cs="Times New Roman"/>
            <w:sz w:val="20"/>
            <w:szCs w:val="20"/>
          </w:rPr>
          <w:t>https://journals.plos.org/plosone/article?id=10.1371/journal.pone.0016885</w:t>
        </w:r>
      </w:hyperlink>
      <w:r w:rsidR="00247F8D">
        <w:rPr>
          <w:rFonts w:ascii="Times New Roman" w:hAnsi="Times New Roman" w:cs="Times New Roman"/>
          <w:sz w:val="20"/>
          <w:szCs w:val="20"/>
        </w:rPr>
        <w:t xml:space="preserve"> </w:t>
      </w:r>
      <w:r w:rsidR="004129CD" w:rsidRPr="00247F8D">
        <w:rPr>
          <w:rFonts w:ascii="Times New Roman" w:hAnsi="Times New Roman" w:cs="Times New Roman"/>
          <w:sz w:val="20"/>
          <w:szCs w:val="20"/>
        </w:rPr>
        <w:t>Acesso</w:t>
      </w:r>
      <w:r w:rsidR="00247F8D" w:rsidRPr="00247F8D">
        <w:rPr>
          <w:rFonts w:ascii="Times New Roman" w:hAnsi="Times New Roman" w:cs="Times New Roman"/>
          <w:sz w:val="20"/>
          <w:szCs w:val="20"/>
        </w:rPr>
        <w:t xml:space="preserve"> </w:t>
      </w:r>
      <w:r w:rsidR="004129CD" w:rsidRPr="00247F8D">
        <w:rPr>
          <w:rFonts w:ascii="Times New Roman" w:hAnsi="Times New Roman" w:cs="Times New Roman"/>
          <w:sz w:val="20"/>
          <w:szCs w:val="20"/>
        </w:rPr>
        <w:t>em: 15 abr. 2021.</w:t>
      </w:r>
    </w:p>
  </w:footnote>
  <w:footnote w:id="7">
    <w:p w14:paraId="543C29AF" w14:textId="2883B58A" w:rsidR="00407A40" w:rsidRPr="00312AA7" w:rsidRDefault="00407A40">
      <w:pPr>
        <w:pStyle w:val="Textodenotaderodap"/>
        <w:rPr>
          <w:rFonts w:ascii="Times New Roman" w:hAnsi="Times New Roman" w:cs="Times New Roman"/>
        </w:rPr>
      </w:pPr>
      <w:r w:rsidRPr="00312AA7">
        <w:rPr>
          <w:rStyle w:val="Refdenotaderodap"/>
          <w:rFonts w:ascii="Times New Roman" w:hAnsi="Times New Roman" w:cs="Times New Roman"/>
        </w:rPr>
        <w:footnoteRef/>
      </w:r>
      <w:r w:rsidRPr="00312AA7">
        <w:rPr>
          <w:rFonts w:ascii="Times New Roman" w:hAnsi="Times New Roman" w:cs="Times New Roman"/>
        </w:rPr>
        <w:t xml:space="preserve"> </w:t>
      </w:r>
      <w:r w:rsidR="00312AA7" w:rsidRPr="00312AA7">
        <w:rPr>
          <w:rFonts w:ascii="Times New Roman" w:hAnsi="Times New Roman" w:cs="Times New Roman"/>
          <w:i/>
          <w:iCs/>
        </w:rPr>
        <w:t xml:space="preserve">AMERICAN COLLEGE OF PEDIATRIC/ANS, </w:t>
      </w:r>
      <w:r w:rsidR="00312AA7" w:rsidRPr="00312AA7">
        <w:rPr>
          <w:rFonts w:ascii="Times New Roman" w:hAnsi="Times New Roman" w:cs="Times New Roman"/>
        </w:rPr>
        <w:t>op. cit., p. 2.</w:t>
      </w:r>
    </w:p>
  </w:footnote>
  <w:footnote w:id="8">
    <w:p w14:paraId="61CA818E" w14:textId="0EF1E993" w:rsidR="00CA5E86" w:rsidRPr="00CA5E86" w:rsidRDefault="00CA5E86">
      <w:pPr>
        <w:pStyle w:val="Textodenotaderodap"/>
        <w:rPr>
          <w:rFonts w:ascii="Times New Roman" w:hAnsi="Times New Roman" w:cs="Times New Roman"/>
        </w:rPr>
      </w:pPr>
      <w:r w:rsidRPr="00CA5E86">
        <w:rPr>
          <w:rStyle w:val="Refdenotaderodap"/>
          <w:rFonts w:ascii="Times New Roman" w:hAnsi="Times New Roman" w:cs="Times New Roman"/>
        </w:rPr>
        <w:footnoteRef/>
      </w:r>
      <w:r w:rsidRPr="00CA5E86">
        <w:rPr>
          <w:rFonts w:ascii="Times New Roman" w:hAnsi="Times New Roman" w:cs="Times New Roman"/>
        </w:rPr>
        <w:t xml:space="preserve"> Idem.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00B42EB1" w:rsidR="0087211A" w:rsidRDefault="00B4030F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920608717"/>
        <w:docPartObj>
          <w:docPartGallery w:val="Page Numbers (Margins)"/>
          <w:docPartUnique/>
        </w:docPartObj>
      </w:sdtPr>
      <w:sdtEndPr/>
      <w:sdtContent>
        <w:r w:rsidR="00E33BDB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29B08593" wp14:editId="4627070B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12547" w14:textId="28B366F9" w:rsidR="00E33BDB" w:rsidRPr="00FC6FDA" w:rsidRDefault="00E33BDB" w:rsidP="00FC6FDA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="00FC6FDA" w:rsidRPr="00FC6FD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/3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9B08593" id="Retângulo 1" o:spid="_x0000_s1026" style="position:absolute;left:0;text-align:left;margin-left:13.3pt;margin-top:0;width:64.5pt;height:34.15pt;z-index:251658240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" o:allowincell="f" stroked="f">
                  <v:textbox style="mso-fit-shape-to-text:t" inset="0,,0">
                    <w:txbxContent>
                      <w:p w14:paraId="74012547" w14:textId="28B366F9" w:rsidR="00E33BDB" w:rsidRPr="00FC6FDA" w:rsidRDefault="00E33BDB" w:rsidP="00FC6FDA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  <w:r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="00FC6FDA" w:rsidRPr="00FC6FD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/3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661A6"/>
    <w:multiLevelType w:val="hybridMultilevel"/>
    <w:tmpl w:val="39DE7A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4294C"/>
    <w:multiLevelType w:val="hybridMultilevel"/>
    <w:tmpl w:val="F656F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C3A"/>
    <w:rsid w:val="00006F16"/>
    <w:rsid w:val="000070B3"/>
    <w:rsid w:val="000078D3"/>
    <w:rsid w:val="00007FA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42E2"/>
    <w:rsid w:val="00197500"/>
    <w:rsid w:val="001A2FC3"/>
    <w:rsid w:val="001A3EB3"/>
    <w:rsid w:val="001A534A"/>
    <w:rsid w:val="001A5532"/>
    <w:rsid w:val="001A6C77"/>
    <w:rsid w:val="001A7B77"/>
    <w:rsid w:val="001B1228"/>
    <w:rsid w:val="001B26A1"/>
    <w:rsid w:val="001B2DC5"/>
    <w:rsid w:val="001B632A"/>
    <w:rsid w:val="001B6981"/>
    <w:rsid w:val="001B77B2"/>
    <w:rsid w:val="001C2565"/>
    <w:rsid w:val="001C2C18"/>
    <w:rsid w:val="001D2E58"/>
    <w:rsid w:val="001D33E7"/>
    <w:rsid w:val="001D570C"/>
    <w:rsid w:val="001D6680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2B93"/>
    <w:rsid w:val="001F393F"/>
    <w:rsid w:val="002024BE"/>
    <w:rsid w:val="00205C24"/>
    <w:rsid w:val="00216619"/>
    <w:rsid w:val="0022217A"/>
    <w:rsid w:val="0022364E"/>
    <w:rsid w:val="00224E27"/>
    <w:rsid w:val="00225A4E"/>
    <w:rsid w:val="00225D78"/>
    <w:rsid w:val="00226B40"/>
    <w:rsid w:val="00232E1E"/>
    <w:rsid w:val="00233575"/>
    <w:rsid w:val="00233F39"/>
    <w:rsid w:val="002340FB"/>
    <w:rsid w:val="0023714E"/>
    <w:rsid w:val="00241FB8"/>
    <w:rsid w:val="00242142"/>
    <w:rsid w:val="002436DB"/>
    <w:rsid w:val="00244046"/>
    <w:rsid w:val="00247F8D"/>
    <w:rsid w:val="002510A8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225"/>
    <w:rsid w:val="00284413"/>
    <w:rsid w:val="00286015"/>
    <w:rsid w:val="0028639F"/>
    <w:rsid w:val="00286BB5"/>
    <w:rsid w:val="00287561"/>
    <w:rsid w:val="00290256"/>
    <w:rsid w:val="00293B95"/>
    <w:rsid w:val="00296334"/>
    <w:rsid w:val="0029668A"/>
    <w:rsid w:val="002A05EE"/>
    <w:rsid w:val="002A07B8"/>
    <w:rsid w:val="002A2DC9"/>
    <w:rsid w:val="002A61F0"/>
    <w:rsid w:val="002A6CEC"/>
    <w:rsid w:val="002B1ECE"/>
    <w:rsid w:val="002B21A8"/>
    <w:rsid w:val="002B267D"/>
    <w:rsid w:val="002B36DC"/>
    <w:rsid w:val="002B68E3"/>
    <w:rsid w:val="002C011D"/>
    <w:rsid w:val="002C51BB"/>
    <w:rsid w:val="002C594E"/>
    <w:rsid w:val="002C5F88"/>
    <w:rsid w:val="002D19AE"/>
    <w:rsid w:val="002D428F"/>
    <w:rsid w:val="002E034A"/>
    <w:rsid w:val="002E5174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2AA7"/>
    <w:rsid w:val="003132C4"/>
    <w:rsid w:val="00314D61"/>
    <w:rsid w:val="00317029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0CEC"/>
    <w:rsid w:val="003410F8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3998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A40"/>
    <w:rsid w:val="00407C83"/>
    <w:rsid w:val="00410123"/>
    <w:rsid w:val="004105AB"/>
    <w:rsid w:val="00410FCC"/>
    <w:rsid w:val="004128D3"/>
    <w:rsid w:val="004129CD"/>
    <w:rsid w:val="00413144"/>
    <w:rsid w:val="004215C7"/>
    <w:rsid w:val="00421784"/>
    <w:rsid w:val="00432D23"/>
    <w:rsid w:val="00432DB6"/>
    <w:rsid w:val="00433872"/>
    <w:rsid w:val="0043471A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67417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7AC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4594"/>
    <w:rsid w:val="00556C9E"/>
    <w:rsid w:val="00563227"/>
    <w:rsid w:val="00567A97"/>
    <w:rsid w:val="005708D5"/>
    <w:rsid w:val="0057453D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5858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2EB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E07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72"/>
    <w:rsid w:val="007937EA"/>
    <w:rsid w:val="00795ED3"/>
    <w:rsid w:val="007968F0"/>
    <w:rsid w:val="00797E30"/>
    <w:rsid w:val="007A0B20"/>
    <w:rsid w:val="007A21D9"/>
    <w:rsid w:val="007A2747"/>
    <w:rsid w:val="007A326D"/>
    <w:rsid w:val="007A4EDD"/>
    <w:rsid w:val="007B0753"/>
    <w:rsid w:val="007B2B16"/>
    <w:rsid w:val="007B57C2"/>
    <w:rsid w:val="007B7236"/>
    <w:rsid w:val="007C1E69"/>
    <w:rsid w:val="007C2E71"/>
    <w:rsid w:val="007C341B"/>
    <w:rsid w:val="007C3ADE"/>
    <w:rsid w:val="007C487A"/>
    <w:rsid w:val="007C5BE5"/>
    <w:rsid w:val="007C6A4B"/>
    <w:rsid w:val="007C79E1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8A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78"/>
    <w:rsid w:val="008424E8"/>
    <w:rsid w:val="008471DC"/>
    <w:rsid w:val="00847ED3"/>
    <w:rsid w:val="00850995"/>
    <w:rsid w:val="00852EF1"/>
    <w:rsid w:val="00853764"/>
    <w:rsid w:val="0085379D"/>
    <w:rsid w:val="0085503C"/>
    <w:rsid w:val="0085532C"/>
    <w:rsid w:val="0086047D"/>
    <w:rsid w:val="00863198"/>
    <w:rsid w:val="00863723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7A5"/>
    <w:rsid w:val="008C7D4C"/>
    <w:rsid w:val="008D053B"/>
    <w:rsid w:val="008D10B7"/>
    <w:rsid w:val="008D242C"/>
    <w:rsid w:val="008D3831"/>
    <w:rsid w:val="008D3BF3"/>
    <w:rsid w:val="008D46A7"/>
    <w:rsid w:val="008D4C51"/>
    <w:rsid w:val="008D6621"/>
    <w:rsid w:val="008D7330"/>
    <w:rsid w:val="008D7734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18F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163E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36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34F3"/>
    <w:rsid w:val="009C24FF"/>
    <w:rsid w:val="009C584A"/>
    <w:rsid w:val="009C647C"/>
    <w:rsid w:val="009C6C75"/>
    <w:rsid w:val="009C7063"/>
    <w:rsid w:val="009D0C3C"/>
    <w:rsid w:val="009D0E44"/>
    <w:rsid w:val="009D0E7D"/>
    <w:rsid w:val="009D5334"/>
    <w:rsid w:val="009D6AA5"/>
    <w:rsid w:val="009D77E5"/>
    <w:rsid w:val="009D7CF9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6F9"/>
    <w:rsid w:val="009F6AB5"/>
    <w:rsid w:val="00A010C3"/>
    <w:rsid w:val="00A031BA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01FD"/>
    <w:rsid w:val="00A31242"/>
    <w:rsid w:val="00A31CE1"/>
    <w:rsid w:val="00A31FE5"/>
    <w:rsid w:val="00A34211"/>
    <w:rsid w:val="00A40877"/>
    <w:rsid w:val="00A4257D"/>
    <w:rsid w:val="00A45AB5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404B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4B98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3DB5"/>
    <w:rsid w:val="00B104AC"/>
    <w:rsid w:val="00B11F48"/>
    <w:rsid w:val="00B14CD6"/>
    <w:rsid w:val="00B1567E"/>
    <w:rsid w:val="00B17D0C"/>
    <w:rsid w:val="00B22078"/>
    <w:rsid w:val="00B227E0"/>
    <w:rsid w:val="00B231D6"/>
    <w:rsid w:val="00B265FC"/>
    <w:rsid w:val="00B268E2"/>
    <w:rsid w:val="00B26D7F"/>
    <w:rsid w:val="00B308FA"/>
    <w:rsid w:val="00B30AE3"/>
    <w:rsid w:val="00B372B6"/>
    <w:rsid w:val="00B4030F"/>
    <w:rsid w:val="00B416AD"/>
    <w:rsid w:val="00B41966"/>
    <w:rsid w:val="00B41FBF"/>
    <w:rsid w:val="00B42327"/>
    <w:rsid w:val="00B44138"/>
    <w:rsid w:val="00B449AF"/>
    <w:rsid w:val="00B4656E"/>
    <w:rsid w:val="00B46868"/>
    <w:rsid w:val="00B501E5"/>
    <w:rsid w:val="00B51A6C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6D77"/>
    <w:rsid w:val="00BB0619"/>
    <w:rsid w:val="00BB4E51"/>
    <w:rsid w:val="00BC2FDC"/>
    <w:rsid w:val="00BC527D"/>
    <w:rsid w:val="00BC53B8"/>
    <w:rsid w:val="00BC5F10"/>
    <w:rsid w:val="00BC5FB5"/>
    <w:rsid w:val="00BC7AD9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1BA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5E86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0AAC"/>
    <w:rsid w:val="00CE1414"/>
    <w:rsid w:val="00CE475B"/>
    <w:rsid w:val="00CF19CA"/>
    <w:rsid w:val="00CF5BE8"/>
    <w:rsid w:val="00CF61C0"/>
    <w:rsid w:val="00CF65AD"/>
    <w:rsid w:val="00CF6CAE"/>
    <w:rsid w:val="00CF7DCC"/>
    <w:rsid w:val="00D03DA7"/>
    <w:rsid w:val="00D07573"/>
    <w:rsid w:val="00D1014B"/>
    <w:rsid w:val="00D111C8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1DA"/>
    <w:rsid w:val="00D94778"/>
    <w:rsid w:val="00D950DB"/>
    <w:rsid w:val="00D96033"/>
    <w:rsid w:val="00DA1AD0"/>
    <w:rsid w:val="00DA37FC"/>
    <w:rsid w:val="00DA4FBB"/>
    <w:rsid w:val="00DB05E1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1E78"/>
    <w:rsid w:val="00DF308D"/>
    <w:rsid w:val="00E013BB"/>
    <w:rsid w:val="00E03D3A"/>
    <w:rsid w:val="00E062E6"/>
    <w:rsid w:val="00E104CA"/>
    <w:rsid w:val="00E11BF8"/>
    <w:rsid w:val="00E13E64"/>
    <w:rsid w:val="00E14BF9"/>
    <w:rsid w:val="00E15B23"/>
    <w:rsid w:val="00E16C74"/>
    <w:rsid w:val="00E218A4"/>
    <w:rsid w:val="00E24232"/>
    <w:rsid w:val="00E24467"/>
    <w:rsid w:val="00E24A09"/>
    <w:rsid w:val="00E2740C"/>
    <w:rsid w:val="00E27C5D"/>
    <w:rsid w:val="00E300BF"/>
    <w:rsid w:val="00E3216A"/>
    <w:rsid w:val="00E32E7A"/>
    <w:rsid w:val="00E33BDB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B02"/>
    <w:rsid w:val="00E56F01"/>
    <w:rsid w:val="00E63080"/>
    <w:rsid w:val="00E6401D"/>
    <w:rsid w:val="00E64DE0"/>
    <w:rsid w:val="00E6570E"/>
    <w:rsid w:val="00E65C2C"/>
    <w:rsid w:val="00E754C1"/>
    <w:rsid w:val="00E75F27"/>
    <w:rsid w:val="00E81385"/>
    <w:rsid w:val="00E86AB4"/>
    <w:rsid w:val="00E9041E"/>
    <w:rsid w:val="00E91CC0"/>
    <w:rsid w:val="00E96B06"/>
    <w:rsid w:val="00E9726D"/>
    <w:rsid w:val="00E974D2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D7543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55B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C6FDA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  <w15:docId w15:val="{21562375-AE66-4383-ABE1-38202EB4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PargrafodaLista">
    <w:name w:val="List Paragraph"/>
    <w:basedOn w:val="Normal"/>
    <w:uiPriority w:val="34"/>
    <w:qFormat/>
    <w:rsid w:val="00B22078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9377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9377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9377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B34F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B3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journals.plos.org/plosone/article?id=10.1371/journal.pone.0016885" TargetMode="External"/><Relationship Id="rId2" Type="http://schemas.openxmlformats.org/officeDocument/2006/relationships/hyperlink" Target="https://williamsinstitute.law.ucla.edu/wp-content/uploads/Trans-Adults-US-Aug-2016.pdf" TargetMode="External"/><Relationship Id="rId1" Type="http://schemas.openxmlformats.org/officeDocument/2006/relationships/hyperlink" Target="https://www.gazetadopovo.com.br/ideias/danos-irreversiveis-o-Iivro-que-denuncia-a-epidemia-transgenero-entre-as-adolescent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5BD9D-78CE-43F4-9D7F-10760F14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772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76</cp:revision>
  <cp:lastPrinted>2021-06-30T17:24:00Z</cp:lastPrinted>
  <dcterms:created xsi:type="dcterms:W3CDTF">2021-06-28T17:06:00Z</dcterms:created>
  <dcterms:modified xsi:type="dcterms:W3CDTF">2021-06-30T17:39:00Z</dcterms:modified>
</cp:coreProperties>
</file>