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E9C37" w14:textId="4D7DBBC1" w:rsidR="00B227E0" w:rsidRPr="00232309" w:rsidRDefault="00C975B0" w:rsidP="00B227E0">
      <w:pPr>
        <w:spacing w:after="0" w:line="240" w:lineRule="auto"/>
        <w:jc w:val="both"/>
        <w:rPr>
          <w:rFonts w:ascii="Times New Roman" w:eastAsia="Times New Roman" w:hAnsi="Times New Roman" w:cs="Times New Roman"/>
          <w:b/>
          <w:bCs/>
          <w:color w:val="000000"/>
          <w:sz w:val="24"/>
          <w:szCs w:val="24"/>
          <w:lang w:eastAsia="pt-BR"/>
        </w:rPr>
      </w:pPr>
      <w:r w:rsidRPr="00232309">
        <w:rPr>
          <w:rFonts w:ascii="Times New Roman" w:eastAsia="Times New Roman" w:hAnsi="Times New Roman" w:cs="Times New Roman"/>
          <w:b/>
          <w:bCs/>
          <w:color w:val="000000"/>
          <w:sz w:val="24"/>
          <w:szCs w:val="24"/>
          <w:lang w:eastAsia="pt-BR"/>
        </w:rPr>
        <w:t xml:space="preserve">PROJETO </w:t>
      </w:r>
      <w:r w:rsidR="00E54B02" w:rsidRPr="00232309">
        <w:rPr>
          <w:rFonts w:ascii="Times New Roman" w:eastAsia="Times New Roman" w:hAnsi="Times New Roman" w:cs="Times New Roman"/>
          <w:b/>
          <w:bCs/>
          <w:color w:val="000000"/>
          <w:sz w:val="24"/>
          <w:szCs w:val="24"/>
          <w:lang w:eastAsia="pt-BR"/>
        </w:rPr>
        <w:t xml:space="preserve">DE </w:t>
      </w:r>
      <w:r w:rsidRPr="00232309">
        <w:rPr>
          <w:rFonts w:ascii="Times New Roman" w:eastAsia="Times New Roman" w:hAnsi="Times New Roman" w:cs="Times New Roman"/>
          <w:b/>
          <w:bCs/>
          <w:color w:val="000000"/>
          <w:sz w:val="24"/>
          <w:szCs w:val="24"/>
          <w:lang w:eastAsia="pt-BR"/>
        </w:rPr>
        <w:t xml:space="preserve">LEI Nº </w:t>
      </w:r>
      <w:r w:rsidR="00DE7BBE" w:rsidRPr="00232309">
        <w:rPr>
          <w:rFonts w:ascii="Times New Roman" w:eastAsia="Times New Roman" w:hAnsi="Times New Roman" w:cs="Times New Roman"/>
          <w:b/>
          <w:bCs/>
          <w:color w:val="000000"/>
          <w:sz w:val="24"/>
          <w:szCs w:val="24"/>
          <w:lang w:eastAsia="pt-BR"/>
        </w:rPr>
        <w:t xml:space="preserve">           </w:t>
      </w:r>
      <w:r w:rsidRPr="00232309">
        <w:rPr>
          <w:rFonts w:ascii="Times New Roman" w:eastAsia="Times New Roman" w:hAnsi="Times New Roman" w:cs="Times New Roman"/>
          <w:b/>
          <w:bCs/>
          <w:color w:val="000000"/>
          <w:sz w:val="24"/>
          <w:szCs w:val="24"/>
          <w:lang w:eastAsia="pt-BR"/>
        </w:rPr>
        <w:t>/2021</w:t>
      </w:r>
    </w:p>
    <w:p w14:paraId="617D39D6" w14:textId="77777777" w:rsidR="00D929B4" w:rsidRPr="00232309" w:rsidRDefault="00D929B4" w:rsidP="00FA322C">
      <w:pPr>
        <w:spacing w:after="0" w:line="360" w:lineRule="auto"/>
        <w:ind w:left="2832" w:firstLine="708"/>
        <w:jc w:val="both"/>
        <w:rPr>
          <w:rFonts w:ascii="Times New Roman" w:hAnsi="Times New Roman" w:cs="Times New Roman"/>
          <w:sz w:val="24"/>
          <w:szCs w:val="24"/>
        </w:rPr>
      </w:pPr>
    </w:p>
    <w:p w14:paraId="451B0784" w14:textId="77777777" w:rsidR="00317796" w:rsidRPr="00232309" w:rsidRDefault="009C647C" w:rsidP="00091C7C">
      <w:pPr>
        <w:tabs>
          <w:tab w:val="left" w:pos="-24383"/>
        </w:tabs>
        <w:spacing w:line="360" w:lineRule="auto"/>
        <w:ind w:left="3969"/>
        <w:jc w:val="both"/>
        <w:rPr>
          <w:rFonts w:ascii="Times New Roman" w:hAnsi="Times New Roman" w:cs="Times New Roman"/>
          <w:b/>
          <w:bCs/>
          <w:color w:val="000000"/>
          <w:sz w:val="24"/>
          <w:szCs w:val="24"/>
        </w:rPr>
      </w:pPr>
      <w:r w:rsidRPr="00232309">
        <w:rPr>
          <w:rFonts w:ascii="Times New Roman" w:hAnsi="Times New Roman" w:cs="Times New Roman"/>
          <w:b/>
          <w:bCs/>
          <w:color w:val="000000"/>
          <w:sz w:val="24"/>
          <w:szCs w:val="24"/>
        </w:rPr>
        <w:t xml:space="preserve">EMENTA: </w:t>
      </w:r>
    </w:p>
    <w:p w14:paraId="2F811C87" w14:textId="61FD8A5D" w:rsidR="00071D9E" w:rsidRPr="009D43F6" w:rsidRDefault="00071D9E" w:rsidP="009D43F6">
      <w:pPr>
        <w:tabs>
          <w:tab w:val="left" w:pos="-24383"/>
        </w:tabs>
        <w:spacing w:line="360" w:lineRule="auto"/>
        <w:ind w:left="3969"/>
        <w:jc w:val="both"/>
        <w:rPr>
          <w:rFonts w:ascii="Times New Roman" w:hAnsi="Times New Roman" w:cs="Times New Roman"/>
          <w:b/>
          <w:bCs/>
          <w:caps/>
          <w:color w:val="000000"/>
          <w:sz w:val="24"/>
          <w:szCs w:val="24"/>
        </w:rPr>
      </w:pPr>
      <w:r w:rsidRPr="00071D9E">
        <w:rPr>
          <w:rFonts w:ascii="Times New Roman" w:hAnsi="Times New Roman" w:cs="Times New Roman"/>
          <w:b/>
          <w:bCs/>
          <w:caps/>
          <w:color w:val="000000"/>
          <w:sz w:val="24"/>
          <w:szCs w:val="24"/>
        </w:rPr>
        <w:t>REGULAMENTA A DECLARAÇÃO DE DIREITOS DE LIBERDADE ECONÔMICA, PREVISTA NA LEI FEDERAL Nº 13.874, DE 20 DE SETEMBRO DE 2019, AMPLIA O ALCANCE DAS GARANTIAS FUNDAMENTAIS À LIVRE INICIATIVA E AO LIVRE EXERCÍCIO DE ATIVIDADE ECONÔMICA, DISPÕE SOBRE A ATUAÇÃO DO MUNICÍPIO COMO AGENTE NORMATIVO REGULADOR E ALTERA DISPOSITIVOS DA LEI Nº 2.597, DE 30 DE SETEMBRO DE 2008 - CÓDIGO TRIBUTÁRIO MUNICIPAL</w:t>
      </w:r>
    </w:p>
    <w:p w14:paraId="7324916B" w14:textId="5285176A" w:rsidR="00C975B0" w:rsidRPr="00232309" w:rsidRDefault="00B308FA" w:rsidP="0094518F">
      <w:pPr>
        <w:tabs>
          <w:tab w:val="left" w:pos="-24383"/>
        </w:tabs>
        <w:spacing w:line="360" w:lineRule="auto"/>
        <w:jc w:val="both"/>
        <w:rPr>
          <w:rFonts w:ascii="Times New Roman" w:hAnsi="Times New Roman" w:cs="Times New Roman"/>
          <w:b/>
          <w:bCs/>
          <w:color w:val="000000"/>
          <w:sz w:val="24"/>
          <w:szCs w:val="24"/>
        </w:rPr>
      </w:pPr>
      <w:r w:rsidRPr="00232309">
        <w:rPr>
          <w:rFonts w:ascii="Times New Roman" w:hAnsi="Times New Roman" w:cs="Times New Roman"/>
          <w:bCs/>
          <w:color w:val="000000"/>
          <w:sz w:val="24"/>
          <w:szCs w:val="24"/>
        </w:rPr>
        <w:t>Autor</w:t>
      </w:r>
      <w:r w:rsidR="00C975B0" w:rsidRPr="00232309">
        <w:rPr>
          <w:rFonts w:ascii="Times New Roman" w:hAnsi="Times New Roman" w:cs="Times New Roman"/>
          <w:bCs/>
          <w:color w:val="000000"/>
          <w:sz w:val="24"/>
          <w:szCs w:val="24"/>
        </w:rPr>
        <w:t>: VEREADOR DOUGLAS GOMES</w:t>
      </w:r>
    </w:p>
    <w:p w14:paraId="74791AC5" w14:textId="1D2BA24F" w:rsidR="00071D9E" w:rsidRP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 1º</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Esta Lei regulamenta e vincula o Município de Niterói à Declaração de Direitos de Liberdade Econômica, prevista na Lei federal nº 13.874, de 20 de setembro de 2019, de modo a garantir o alcance das garantias fundamentais à livre iniciativa e ao livre exercício de atividade econômica e dispõe sobre a atuação do Município como agente normativo regulador.</w:t>
      </w:r>
    </w:p>
    <w:p w14:paraId="0771B70C" w14:textId="77777777" w:rsidR="00071D9E" w:rsidRPr="00BF25E3" w:rsidRDefault="00071D9E" w:rsidP="00BF25E3">
      <w:pPr>
        <w:tabs>
          <w:tab w:val="left" w:pos="-24383"/>
        </w:tabs>
        <w:spacing w:line="360" w:lineRule="auto"/>
        <w:jc w:val="center"/>
        <w:rPr>
          <w:rFonts w:ascii="Times New Roman" w:hAnsi="Times New Roman" w:cs="Times New Roman"/>
          <w:b/>
          <w:color w:val="000000"/>
          <w:sz w:val="24"/>
          <w:szCs w:val="24"/>
        </w:rPr>
      </w:pPr>
      <w:r w:rsidRPr="00BF25E3">
        <w:rPr>
          <w:rFonts w:ascii="Times New Roman" w:hAnsi="Times New Roman" w:cs="Times New Roman"/>
          <w:b/>
          <w:color w:val="000000"/>
          <w:sz w:val="24"/>
          <w:szCs w:val="24"/>
        </w:rPr>
        <w:t>CAPÍTULO I</w:t>
      </w:r>
      <w:r w:rsidRPr="00BF25E3">
        <w:rPr>
          <w:rFonts w:ascii="Times New Roman" w:hAnsi="Times New Roman" w:cs="Times New Roman"/>
          <w:b/>
          <w:color w:val="000000"/>
          <w:sz w:val="24"/>
          <w:szCs w:val="24"/>
        </w:rPr>
        <w:br/>
        <w:t>DA DECLARAÇÃO MUNICIPAL DE DIREITOS DE LIBERDADE ECONÔMICA</w:t>
      </w:r>
    </w:p>
    <w:p w14:paraId="3087EE79" w14:textId="1843CB40" w:rsidR="00071D9E" w:rsidRP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 2º</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São princípios que norteiam o disposto nesta Lei:</w:t>
      </w:r>
    </w:p>
    <w:p w14:paraId="39438580"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I - </w:t>
      </w:r>
      <w:proofErr w:type="gramStart"/>
      <w:r w:rsidRPr="00071D9E">
        <w:rPr>
          <w:rFonts w:ascii="Times New Roman" w:hAnsi="Times New Roman" w:cs="Times New Roman"/>
          <w:bCs/>
          <w:color w:val="000000"/>
          <w:sz w:val="24"/>
          <w:szCs w:val="24"/>
        </w:rPr>
        <w:t>a</w:t>
      </w:r>
      <w:proofErr w:type="gramEnd"/>
      <w:r w:rsidRPr="00071D9E">
        <w:rPr>
          <w:rFonts w:ascii="Times New Roman" w:hAnsi="Times New Roman" w:cs="Times New Roman"/>
          <w:bCs/>
          <w:color w:val="000000"/>
          <w:sz w:val="24"/>
          <w:szCs w:val="24"/>
        </w:rPr>
        <w:t xml:space="preserve"> liberdade como uma garantia no exercício de atividades econômicas;</w:t>
      </w:r>
    </w:p>
    <w:p w14:paraId="58174826"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II - </w:t>
      </w:r>
      <w:proofErr w:type="gramStart"/>
      <w:r w:rsidRPr="00071D9E">
        <w:rPr>
          <w:rFonts w:ascii="Times New Roman" w:hAnsi="Times New Roman" w:cs="Times New Roman"/>
          <w:bCs/>
          <w:color w:val="000000"/>
          <w:sz w:val="24"/>
          <w:szCs w:val="24"/>
        </w:rPr>
        <w:t>a</w:t>
      </w:r>
      <w:proofErr w:type="gramEnd"/>
      <w:r w:rsidRPr="00071D9E">
        <w:rPr>
          <w:rFonts w:ascii="Times New Roman" w:hAnsi="Times New Roman" w:cs="Times New Roman"/>
          <w:bCs/>
          <w:color w:val="000000"/>
          <w:sz w:val="24"/>
          <w:szCs w:val="24"/>
        </w:rPr>
        <w:t xml:space="preserve"> presunção de boa-fé do particular;</w:t>
      </w:r>
    </w:p>
    <w:p w14:paraId="15103CF1" w14:textId="475A8B6D" w:rsid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III - a intervenção subsidiária, mínima e excepcional do Município sobre o exercício de atividades econômicas;</w:t>
      </w:r>
    </w:p>
    <w:p w14:paraId="790C8147"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IV - </w:t>
      </w:r>
      <w:proofErr w:type="gramStart"/>
      <w:r w:rsidRPr="00071D9E">
        <w:rPr>
          <w:rFonts w:ascii="Times New Roman" w:hAnsi="Times New Roman" w:cs="Times New Roman"/>
          <w:bCs/>
          <w:color w:val="000000"/>
          <w:sz w:val="24"/>
          <w:szCs w:val="24"/>
        </w:rPr>
        <w:t>o</w:t>
      </w:r>
      <w:proofErr w:type="gramEnd"/>
      <w:r w:rsidRPr="00071D9E">
        <w:rPr>
          <w:rFonts w:ascii="Times New Roman" w:hAnsi="Times New Roman" w:cs="Times New Roman"/>
          <w:bCs/>
          <w:color w:val="000000"/>
          <w:sz w:val="24"/>
          <w:szCs w:val="24"/>
        </w:rPr>
        <w:t xml:space="preserve"> reconhecimento da vulnerabilidade do particular perante o Município;</w:t>
      </w:r>
    </w:p>
    <w:p w14:paraId="52E1D696"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V - </w:t>
      </w:r>
      <w:proofErr w:type="gramStart"/>
      <w:r w:rsidRPr="00071D9E">
        <w:rPr>
          <w:rFonts w:ascii="Times New Roman" w:hAnsi="Times New Roman" w:cs="Times New Roman"/>
          <w:bCs/>
          <w:color w:val="000000"/>
          <w:sz w:val="24"/>
          <w:szCs w:val="24"/>
        </w:rPr>
        <w:t>a</w:t>
      </w:r>
      <w:proofErr w:type="gramEnd"/>
      <w:r w:rsidRPr="00071D9E">
        <w:rPr>
          <w:rFonts w:ascii="Times New Roman" w:hAnsi="Times New Roman" w:cs="Times New Roman"/>
          <w:bCs/>
          <w:color w:val="000000"/>
          <w:sz w:val="24"/>
          <w:szCs w:val="24"/>
        </w:rPr>
        <w:t xml:space="preserve"> proporcionalidade regulatória;</w:t>
      </w:r>
    </w:p>
    <w:p w14:paraId="05596187" w14:textId="526A4B91" w:rsidR="00071D9E" w:rsidRP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lastRenderedPageBreak/>
        <w:t xml:space="preserve">VI - </w:t>
      </w:r>
      <w:proofErr w:type="gramStart"/>
      <w:r w:rsidRPr="00071D9E">
        <w:rPr>
          <w:rFonts w:ascii="Times New Roman" w:hAnsi="Times New Roman" w:cs="Times New Roman"/>
          <w:bCs/>
          <w:color w:val="000000"/>
          <w:sz w:val="24"/>
          <w:szCs w:val="24"/>
        </w:rPr>
        <w:t>a</w:t>
      </w:r>
      <w:proofErr w:type="gramEnd"/>
      <w:r w:rsidRPr="00071D9E">
        <w:rPr>
          <w:rFonts w:ascii="Times New Roman" w:hAnsi="Times New Roman" w:cs="Times New Roman"/>
          <w:bCs/>
          <w:color w:val="000000"/>
          <w:sz w:val="24"/>
          <w:szCs w:val="24"/>
        </w:rPr>
        <w:t xml:space="preserve"> racionalidade da atividade reguladora.</w:t>
      </w:r>
    </w:p>
    <w:p w14:paraId="09A2B679"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 3º</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São direitos de toda pessoa, natural ou jurídica, de direito público ou privado, de fato ou de direito, essenciais para o desenvolvimento e o crescimento econômico do Município, observado o disposto no Parágrafo único do art. 170 da Constituição federal:</w:t>
      </w:r>
    </w:p>
    <w:p w14:paraId="70A2993A"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I - </w:t>
      </w:r>
      <w:proofErr w:type="gramStart"/>
      <w:r w:rsidRPr="00071D9E">
        <w:rPr>
          <w:rFonts w:ascii="Times New Roman" w:hAnsi="Times New Roman" w:cs="Times New Roman"/>
          <w:bCs/>
          <w:color w:val="000000"/>
          <w:sz w:val="24"/>
          <w:szCs w:val="24"/>
        </w:rPr>
        <w:t>desenvolver</w:t>
      </w:r>
      <w:proofErr w:type="gramEnd"/>
      <w:r w:rsidRPr="00071D9E">
        <w:rPr>
          <w:rFonts w:ascii="Times New Roman" w:hAnsi="Times New Roman" w:cs="Times New Roman"/>
          <w:bCs/>
          <w:color w:val="000000"/>
          <w:sz w:val="24"/>
          <w:szCs w:val="24"/>
        </w:rPr>
        <w:t xml:space="preserve"> atividade econômica de baixo risco, para a qual se valha exclusivamente de propriedade privada própria ou de terceiros consensuais, sem a necessidade de quaisquer atos públicos de liberação da atividade econômica, ressalvada a obrigatoriedade de inscrição cadastral;</w:t>
      </w:r>
    </w:p>
    <w:p w14:paraId="1658ACB7"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II - </w:t>
      </w:r>
      <w:proofErr w:type="gramStart"/>
      <w:r w:rsidRPr="00071D9E">
        <w:rPr>
          <w:rFonts w:ascii="Times New Roman" w:hAnsi="Times New Roman" w:cs="Times New Roman"/>
          <w:bCs/>
          <w:color w:val="000000"/>
          <w:sz w:val="24"/>
          <w:szCs w:val="24"/>
        </w:rPr>
        <w:t>desenvolver</w:t>
      </w:r>
      <w:proofErr w:type="gramEnd"/>
      <w:r w:rsidRPr="00071D9E">
        <w:rPr>
          <w:rFonts w:ascii="Times New Roman" w:hAnsi="Times New Roman" w:cs="Times New Roman"/>
          <w:bCs/>
          <w:color w:val="000000"/>
          <w:sz w:val="24"/>
          <w:szCs w:val="24"/>
        </w:rPr>
        <w:t xml:space="preserve"> atividade econômica não classificada como alto risco, mediante concessão de alvará de funcionamento para o microempreendedor individual, para microempresas e para empresas de pequeno porte, nos termos da Lei Complementar nº 123, de 14 de dezembro de 2006;</w:t>
      </w:r>
    </w:p>
    <w:p w14:paraId="42BB8C87"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III - desenvolver atividade econômica em qualquer horário ou dia da semana, inclusive feriados, sem que para isso esteja sujeito a cobranças adicionais de tributos, tarifas ou encargos pelo Município, observadas:</w:t>
      </w:r>
    </w:p>
    <w:p w14:paraId="13C9C1A8"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 as normas de proteção à saúde e ao meio ambiente, incluídas as de combate à poluição sonora e à perturbação do sossego público;</w:t>
      </w:r>
    </w:p>
    <w:p w14:paraId="507F7241"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b) as restrições advindas de contrato, de regulamento condominial ou de outro negócio jurídico, bem como as decorrentes das normas de direito real, incluídas as de direito de vizinhança;</w:t>
      </w:r>
    </w:p>
    <w:p w14:paraId="2A52AC9E"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c) a legislação trabalhista;</w:t>
      </w:r>
    </w:p>
    <w:p w14:paraId="60A4E127"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d) as disposições de órgãos reguladores de funcionamento e horários especiais para determinadas atividades econômicas;</w:t>
      </w:r>
    </w:p>
    <w:p w14:paraId="187D7C6A"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IV - </w:t>
      </w:r>
      <w:proofErr w:type="gramStart"/>
      <w:r w:rsidRPr="00071D9E">
        <w:rPr>
          <w:rFonts w:ascii="Times New Roman" w:hAnsi="Times New Roman" w:cs="Times New Roman"/>
          <w:bCs/>
          <w:color w:val="000000"/>
          <w:sz w:val="24"/>
          <w:szCs w:val="24"/>
        </w:rPr>
        <w:t>receber</w:t>
      </w:r>
      <w:proofErr w:type="gramEnd"/>
      <w:r w:rsidRPr="00071D9E">
        <w:rPr>
          <w:rFonts w:ascii="Times New Roman" w:hAnsi="Times New Roman" w:cs="Times New Roman"/>
          <w:bCs/>
          <w:color w:val="000000"/>
          <w:sz w:val="24"/>
          <w:szCs w:val="24"/>
        </w:rPr>
        <w:t xml:space="preserve"> tratamento isonômico de órgãos e de entidades da administração pública ou de quem em nome dela agir, quanto ao exercício de atos de liberação da atividade econômica, hipótese em que o ato de liberação estará vinculado aos mesmos critérios de interpretação adotados em decisões administrativas análogas anteriores, observado o disposto em regulamento;</w:t>
      </w:r>
    </w:p>
    <w:p w14:paraId="4FD7A10B"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V - </w:t>
      </w:r>
      <w:proofErr w:type="gramStart"/>
      <w:r w:rsidRPr="00071D9E">
        <w:rPr>
          <w:rFonts w:ascii="Times New Roman" w:hAnsi="Times New Roman" w:cs="Times New Roman"/>
          <w:bCs/>
          <w:color w:val="000000"/>
          <w:sz w:val="24"/>
          <w:szCs w:val="24"/>
        </w:rPr>
        <w:t>gozar</w:t>
      </w:r>
      <w:proofErr w:type="gramEnd"/>
      <w:r w:rsidRPr="00071D9E">
        <w:rPr>
          <w:rFonts w:ascii="Times New Roman" w:hAnsi="Times New Roman" w:cs="Times New Roman"/>
          <w:bCs/>
          <w:color w:val="000000"/>
          <w:sz w:val="24"/>
          <w:szCs w:val="24"/>
        </w:rPr>
        <w:t xml:space="preserve"> de presunção de boa-fé nos atos praticados no exercício da atividade econômica, para os quais as dúvidas de interpretação do direito civil, empresarial, econômico e urbanístico serão </w:t>
      </w:r>
      <w:r w:rsidRPr="00071D9E">
        <w:rPr>
          <w:rFonts w:ascii="Times New Roman" w:hAnsi="Times New Roman" w:cs="Times New Roman"/>
          <w:bCs/>
          <w:color w:val="000000"/>
          <w:sz w:val="24"/>
          <w:szCs w:val="24"/>
        </w:rPr>
        <w:lastRenderedPageBreak/>
        <w:t>resolvidas de forma a preservar a autonomia privada, exceto se houver expressa disposição legal em contrário;</w:t>
      </w:r>
    </w:p>
    <w:p w14:paraId="05ED01D9"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VI - </w:t>
      </w:r>
      <w:proofErr w:type="gramStart"/>
      <w:r w:rsidRPr="00071D9E">
        <w:rPr>
          <w:rFonts w:ascii="Times New Roman" w:hAnsi="Times New Roman" w:cs="Times New Roman"/>
          <w:bCs/>
          <w:color w:val="000000"/>
          <w:sz w:val="24"/>
          <w:szCs w:val="24"/>
        </w:rPr>
        <w:t>ter</w:t>
      </w:r>
      <w:proofErr w:type="gramEnd"/>
      <w:r w:rsidRPr="00071D9E">
        <w:rPr>
          <w:rFonts w:ascii="Times New Roman" w:hAnsi="Times New Roman" w:cs="Times New Roman"/>
          <w:bCs/>
          <w:color w:val="000000"/>
          <w:sz w:val="24"/>
          <w:szCs w:val="24"/>
        </w:rPr>
        <w:t xml:space="preserve"> acesso público, amplo e simplificado aos processos e atos de liberação de atividade econômica;</w:t>
      </w:r>
    </w:p>
    <w:p w14:paraId="0159EBAD"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VII - ter a primeira visita fiscalizatória para fins orientadores e não punitivos, exceto na ocorrência de risco iminente à saúde pública, reincidência, fraude, resistência ou embaraço à fiscalização e outra condição relevante de risco constatada pelo agente público.</w:t>
      </w:r>
    </w:p>
    <w:p w14:paraId="002C9846" w14:textId="6DC3FB1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1º</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xml:space="preserve"> Para fins do disposto no inciso I, consideram-se de baixo risco as atividades econômicas previstas na Resolução CGSIM N° 57/2020</w:t>
      </w:r>
      <w:r w:rsidR="00BF25E3">
        <w:rPr>
          <w:rFonts w:ascii="Times New Roman" w:hAnsi="Times New Roman" w:cs="Times New Roman"/>
          <w:bCs/>
          <w:color w:val="000000"/>
          <w:sz w:val="24"/>
          <w:szCs w:val="24"/>
        </w:rPr>
        <w:t>.</w:t>
      </w:r>
    </w:p>
    <w:p w14:paraId="44050009" w14:textId="6DBC598A"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2º</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xml:space="preserve"> A Administração municipal poderá emitir, a pedido do interessado, declaração de isenção de licenciamento para as atividades econômicas de baixo risco.</w:t>
      </w:r>
    </w:p>
    <w:p w14:paraId="05B843C8" w14:textId="7613B965"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3º</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xml:space="preserve"> Excetuam-se do disposto nesta Lei, as autorizações a título precário de uso de área pública, sendo obrigatório em tais casos o cumprimento das normas de localização e observância dos produtos ou mercadorias que poderão ser comercializados naquele local, conforme legislação municipal em vigor.</w:t>
      </w:r>
    </w:p>
    <w:p w14:paraId="07586217"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 4º</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As atividades econômicas de baixo risco, classificadas na Resolução CGSIM N° 57/2020, serão fiscalizadas em momento posterior, de ofício ou em razão de denúncia, a fim de averiguar se o estabelecimento está em conformidade com as normas urbanísticas, de posturas, de meio ambiente, de vigilância sanitária, saúde pública e demais poderes de polícia pertinentes ao ramo da atividade econômica.</w:t>
      </w:r>
    </w:p>
    <w:p w14:paraId="58E8D169"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1º</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xml:space="preserve"> O primeiro ato de fiscalização da atividade terá cunho orientador, devendo ser assinalado prazo para adequação de eventuais inconformidades constatadas, exceto na ocorrência de risco iminente à saúde pública, reincidência, fraude, resistência ou embaraço à fiscalização e outra condição relevante de risco constatada pelo agente público.</w:t>
      </w:r>
    </w:p>
    <w:p w14:paraId="2920DCBC"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2º</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xml:space="preserve"> No exercício posterior do poder de polícia de que trata o caput deste artigo, ainda que não resulte na concessão de ato público de liberação, incide a taxa correlata prevista na Lei nº 2.597, de 30 de setembro de 2008 - Código Tributário Municipal.</w:t>
      </w:r>
    </w:p>
    <w:p w14:paraId="77C38AE2"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lastRenderedPageBreak/>
        <w:t>Art. 5º</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xml:space="preserve"> Se o particular, por si ou por seu representante, fizer declarações falsas ou omitir dolosamente circunstâncias relevantes na autodeclaração, estará sujeito à aplicação de multa no valor de dois mil UFIR-RJ pelo órgão responsável pelo licenciamento, sem prejuízo de outras sanções previstas em lei.</w:t>
      </w:r>
    </w:p>
    <w:p w14:paraId="5BD0EAEB" w14:textId="23B3F332" w:rsidR="00071D9E" w:rsidRP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 6º</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Todas as atividades econômicas, independentemente de sua classificação, deverão observar o contido no Decreto-Lei estadual nº 247, de 21 de julho de 1975, bem como no Decreto estadual nº 42, de 17 de dezembro de 2018, e suas alterações, em relação às normas sobre segurança, prevenção e proteção contra incêndios nas edificações e áreas de risco de incêndio.</w:t>
      </w:r>
    </w:p>
    <w:p w14:paraId="0989FCE5" w14:textId="77777777" w:rsidR="00071D9E" w:rsidRPr="00BF25E3" w:rsidRDefault="00071D9E" w:rsidP="00BF25E3">
      <w:pPr>
        <w:tabs>
          <w:tab w:val="left" w:pos="-24383"/>
        </w:tabs>
        <w:spacing w:line="360" w:lineRule="auto"/>
        <w:jc w:val="center"/>
        <w:rPr>
          <w:rFonts w:ascii="Times New Roman" w:hAnsi="Times New Roman" w:cs="Times New Roman"/>
          <w:b/>
          <w:color w:val="000000"/>
          <w:sz w:val="24"/>
          <w:szCs w:val="24"/>
        </w:rPr>
      </w:pPr>
      <w:r w:rsidRPr="00BF25E3">
        <w:rPr>
          <w:rFonts w:ascii="Times New Roman" w:hAnsi="Times New Roman" w:cs="Times New Roman"/>
          <w:b/>
          <w:color w:val="000000"/>
          <w:sz w:val="24"/>
          <w:szCs w:val="24"/>
        </w:rPr>
        <w:t>CAPÍTULO II</w:t>
      </w:r>
      <w:r w:rsidRPr="00BF25E3">
        <w:rPr>
          <w:rFonts w:ascii="Times New Roman" w:hAnsi="Times New Roman" w:cs="Times New Roman"/>
          <w:b/>
          <w:color w:val="000000"/>
          <w:sz w:val="24"/>
          <w:szCs w:val="24"/>
        </w:rPr>
        <w:br/>
        <w:t>DAS GARANTIAS DE LIVRE INICIATIVA</w:t>
      </w:r>
    </w:p>
    <w:p w14:paraId="15FD14D6"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 7º</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xml:space="preserve"> É dever da Administração Pública e das demais entidades que se vinculam a esta Lei, no exercício de regulamentação de norma pública pertencente à legislação sobre a qual versa, exceto se em estrito cumprimento a previsão explícita em lei, evitar o abuso do poder regulatório de maneira a, indevidamente:</w:t>
      </w:r>
    </w:p>
    <w:p w14:paraId="01F79CC2"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I - </w:t>
      </w:r>
      <w:proofErr w:type="gramStart"/>
      <w:r w:rsidRPr="00071D9E">
        <w:rPr>
          <w:rFonts w:ascii="Times New Roman" w:hAnsi="Times New Roman" w:cs="Times New Roman"/>
          <w:bCs/>
          <w:color w:val="000000"/>
          <w:sz w:val="24"/>
          <w:szCs w:val="24"/>
        </w:rPr>
        <w:t>criar</w:t>
      </w:r>
      <w:proofErr w:type="gramEnd"/>
      <w:r w:rsidRPr="00071D9E">
        <w:rPr>
          <w:rFonts w:ascii="Times New Roman" w:hAnsi="Times New Roman" w:cs="Times New Roman"/>
          <w:bCs/>
          <w:color w:val="000000"/>
          <w:sz w:val="24"/>
          <w:szCs w:val="24"/>
        </w:rPr>
        <w:t xml:space="preserve"> reserva de mercado ao favorecer, na regulação, grupo econômico ou profissional, em prejuízo dos demais concorrentes;</w:t>
      </w:r>
    </w:p>
    <w:p w14:paraId="5DB62E11"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II - </w:t>
      </w:r>
      <w:proofErr w:type="gramStart"/>
      <w:r w:rsidRPr="00071D9E">
        <w:rPr>
          <w:rFonts w:ascii="Times New Roman" w:hAnsi="Times New Roman" w:cs="Times New Roman"/>
          <w:bCs/>
          <w:color w:val="000000"/>
          <w:sz w:val="24"/>
          <w:szCs w:val="24"/>
        </w:rPr>
        <w:t>redigir</w:t>
      </w:r>
      <w:proofErr w:type="gramEnd"/>
      <w:r w:rsidRPr="00071D9E">
        <w:rPr>
          <w:rFonts w:ascii="Times New Roman" w:hAnsi="Times New Roman" w:cs="Times New Roman"/>
          <w:bCs/>
          <w:color w:val="000000"/>
          <w:sz w:val="24"/>
          <w:szCs w:val="24"/>
        </w:rPr>
        <w:t xml:space="preserve"> enunciados que impeçam a entrada de novos competidores nacionais ou estrangeiros no mercado;</w:t>
      </w:r>
    </w:p>
    <w:p w14:paraId="538E688B"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III - exigir especificação técnica que não seja necessária para atingir o fim desejado;</w:t>
      </w:r>
    </w:p>
    <w:p w14:paraId="46D38034"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IV - </w:t>
      </w:r>
      <w:proofErr w:type="gramStart"/>
      <w:r w:rsidRPr="00071D9E">
        <w:rPr>
          <w:rFonts w:ascii="Times New Roman" w:hAnsi="Times New Roman" w:cs="Times New Roman"/>
          <w:bCs/>
          <w:color w:val="000000"/>
          <w:sz w:val="24"/>
          <w:szCs w:val="24"/>
        </w:rPr>
        <w:t>redigir</w:t>
      </w:r>
      <w:proofErr w:type="gramEnd"/>
      <w:r w:rsidRPr="00071D9E">
        <w:rPr>
          <w:rFonts w:ascii="Times New Roman" w:hAnsi="Times New Roman" w:cs="Times New Roman"/>
          <w:bCs/>
          <w:color w:val="000000"/>
          <w:sz w:val="24"/>
          <w:szCs w:val="24"/>
        </w:rPr>
        <w:t xml:space="preserve"> enunciados que impeçam ou retardem a inovação e a adoção de novas tecnologias, processos ou modelos de negócios, ressalvadas as situações consideradas em regulamento como de alto risco;</w:t>
      </w:r>
    </w:p>
    <w:p w14:paraId="4CCAB964"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V - </w:t>
      </w:r>
      <w:proofErr w:type="gramStart"/>
      <w:r w:rsidRPr="00071D9E">
        <w:rPr>
          <w:rFonts w:ascii="Times New Roman" w:hAnsi="Times New Roman" w:cs="Times New Roman"/>
          <w:bCs/>
          <w:color w:val="000000"/>
          <w:sz w:val="24"/>
          <w:szCs w:val="24"/>
        </w:rPr>
        <w:t>aumentar</w:t>
      </w:r>
      <w:proofErr w:type="gramEnd"/>
      <w:r w:rsidRPr="00071D9E">
        <w:rPr>
          <w:rFonts w:ascii="Times New Roman" w:hAnsi="Times New Roman" w:cs="Times New Roman"/>
          <w:bCs/>
          <w:color w:val="000000"/>
          <w:sz w:val="24"/>
          <w:szCs w:val="24"/>
        </w:rPr>
        <w:t xml:space="preserve"> os custos de transação sem demonstração de benefícios;</w:t>
      </w:r>
    </w:p>
    <w:p w14:paraId="49C11796"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VI - </w:t>
      </w:r>
      <w:proofErr w:type="gramStart"/>
      <w:r w:rsidRPr="00071D9E">
        <w:rPr>
          <w:rFonts w:ascii="Times New Roman" w:hAnsi="Times New Roman" w:cs="Times New Roman"/>
          <w:bCs/>
          <w:color w:val="000000"/>
          <w:sz w:val="24"/>
          <w:szCs w:val="24"/>
        </w:rPr>
        <w:t>criar</w:t>
      </w:r>
      <w:proofErr w:type="gramEnd"/>
      <w:r w:rsidRPr="00071D9E">
        <w:rPr>
          <w:rFonts w:ascii="Times New Roman" w:hAnsi="Times New Roman" w:cs="Times New Roman"/>
          <w:bCs/>
          <w:color w:val="000000"/>
          <w:sz w:val="24"/>
          <w:szCs w:val="24"/>
        </w:rPr>
        <w:t xml:space="preserve"> demanda artificial ou compulsória de produto, serviço ou atividade profissional, inclusive de uso de cartórios, registros ou cadastros,</w:t>
      </w:r>
    </w:p>
    <w:p w14:paraId="3C88D799"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VII - introduzir limites à livre formação de sociedades empresariais ou de atividades econômicas;</w:t>
      </w:r>
    </w:p>
    <w:p w14:paraId="7B9DD582"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lastRenderedPageBreak/>
        <w:t>VIII - restringir o uso e o exercício da publicidade e da propaganda sobre um setor econômico, ressalvadas as hipóteses expressamente vedadas em lei.</w:t>
      </w:r>
    </w:p>
    <w:p w14:paraId="12761D3B"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IX – </w:t>
      </w:r>
      <w:proofErr w:type="gramStart"/>
      <w:r w:rsidRPr="00071D9E">
        <w:rPr>
          <w:rFonts w:ascii="Times New Roman" w:hAnsi="Times New Roman" w:cs="Times New Roman"/>
          <w:bCs/>
          <w:color w:val="000000"/>
          <w:sz w:val="24"/>
          <w:szCs w:val="24"/>
        </w:rPr>
        <w:t>emitir</w:t>
      </w:r>
      <w:proofErr w:type="gramEnd"/>
      <w:r w:rsidRPr="00071D9E">
        <w:rPr>
          <w:rFonts w:ascii="Times New Roman" w:hAnsi="Times New Roman" w:cs="Times New Roman"/>
          <w:bCs/>
          <w:color w:val="000000"/>
          <w:sz w:val="24"/>
          <w:szCs w:val="24"/>
        </w:rPr>
        <w:t xml:space="preserve"> decretos e legislações que gerem limites de horário de funcionamento para exercício de atividade econômica de baixo risco;</w:t>
      </w:r>
    </w:p>
    <w:p w14:paraId="63B87F7B"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X – </w:t>
      </w:r>
      <w:proofErr w:type="gramStart"/>
      <w:r w:rsidRPr="00071D9E">
        <w:rPr>
          <w:rFonts w:ascii="Times New Roman" w:hAnsi="Times New Roman" w:cs="Times New Roman"/>
          <w:bCs/>
          <w:color w:val="000000"/>
          <w:sz w:val="24"/>
          <w:szCs w:val="24"/>
        </w:rPr>
        <w:t>emitir</w:t>
      </w:r>
      <w:proofErr w:type="gramEnd"/>
      <w:r w:rsidRPr="00071D9E">
        <w:rPr>
          <w:rFonts w:ascii="Times New Roman" w:hAnsi="Times New Roman" w:cs="Times New Roman"/>
          <w:bCs/>
          <w:color w:val="000000"/>
          <w:sz w:val="24"/>
          <w:szCs w:val="24"/>
        </w:rPr>
        <w:t xml:space="preserve"> decretos e legislações que obriguem o fechamento compulsório, inviabilizando o exercício de atividade econômica de baixo risco; </w:t>
      </w:r>
    </w:p>
    <w:p w14:paraId="6A23E41E" w14:textId="783D537B" w:rsidR="00071D9E" w:rsidRP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XI - O exercício da atividade econômica de baixo risco não depende de licenciamento prévio do Poder Público municipal, ressalvadas as hipóteses legais específicas. </w:t>
      </w:r>
    </w:p>
    <w:p w14:paraId="76866F21" w14:textId="77777777" w:rsidR="00071D9E" w:rsidRPr="00BF25E3" w:rsidRDefault="00071D9E" w:rsidP="00BF25E3">
      <w:pPr>
        <w:tabs>
          <w:tab w:val="left" w:pos="-24383"/>
        </w:tabs>
        <w:spacing w:line="360" w:lineRule="auto"/>
        <w:jc w:val="center"/>
        <w:rPr>
          <w:rFonts w:ascii="Times New Roman" w:hAnsi="Times New Roman" w:cs="Times New Roman"/>
          <w:b/>
          <w:color w:val="000000"/>
          <w:sz w:val="24"/>
          <w:szCs w:val="24"/>
        </w:rPr>
      </w:pPr>
      <w:r w:rsidRPr="00BF25E3">
        <w:rPr>
          <w:rFonts w:ascii="Times New Roman" w:hAnsi="Times New Roman" w:cs="Times New Roman"/>
          <w:b/>
          <w:color w:val="000000"/>
          <w:sz w:val="24"/>
          <w:szCs w:val="24"/>
        </w:rPr>
        <w:t>CAPÍTULO III</w:t>
      </w:r>
    </w:p>
    <w:p w14:paraId="1E6239CE" w14:textId="77777777" w:rsidR="00071D9E" w:rsidRPr="00BF25E3" w:rsidRDefault="00071D9E" w:rsidP="00BF25E3">
      <w:pPr>
        <w:tabs>
          <w:tab w:val="left" w:pos="-24383"/>
        </w:tabs>
        <w:spacing w:line="360" w:lineRule="auto"/>
        <w:jc w:val="center"/>
        <w:rPr>
          <w:rFonts w:ascii="Times New Roman" w:hAnsi="Times New Roman" w:cs="Times New Roman"/>
          <w:b/>
          <w:color w:val="000000"/>
          <w:sz w:val="24"/>
          <w:szCs w:val="24"/>
        </w:rPr>
      </w:pPr>
      <w:r w:rsidRPr="00BF25E3">
        <w:rPr>
          <w:rFonts w:ascii="Times New Roman" w:hAnsi="Times New Roman" w:cs="Times New Roman"/>
          <w:b/>
          <w:color w:val="000000"/>
          <w:sz w:val="24"/>
          <w:szCs w:val="24"/>
        </w:rPr>
        <w:t>DA ANÁLISE DE IMPACTO REGULATÓRIO</w:t>
      </w:r>
    </w:p>
    <w:p w14:paraId="6454AD3B"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 8°</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xml:space="preserve"> As propostas de edição e de alteração de atos normativos de interesse geral de agentes econômicos ou de usuários dos serviços prestados, editadas por órgão ou entidade da Administração Pública municipal, incluídas as autarquias e as fundações públicas, serão precedidas da realização de análise de impacto regulatório, que conterá informações e dados sobre os possíveis efeitos do ato normativo, para verificar a razoabilidade do seu impacto econômico.</w:t>
      </w:r>
    </w:p>
    <w:p w14:paraId="45F76C72"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1º</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xml:space="preserve"> O Poder Executivo editará regulamento que disporá sobre o conteúdo e a metodologia da análise de impacto regulatório, sobre os quesitos mínimos a serem objeto de exame e sobre as hipóteses em que essa poderá ser dispensada.</w:t>
      </w:r>
    </w:p>
    <w:p w14:paraId="0080A8A2" w14:textId="400830F3" w:rsidR="00071D9E" w:rsidRP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2º</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xml:space="preserve"> A análise de impacto regulatório de que trata o caput deste artigo deverá ser disponibilizada no sítio eletrônico oficial do órgão por ela responsável, em local de fácil acesso, no qual serão informadas também as fontes de dados utilizadas para a análise, preferencialmente em formato de planilha de dados, sem prejuízo da divulgação em outros locais ou formatos de dados.</w:t>
      </w:r>
    </w:p>
    <w:p w14:paraId="62D1F2D1" w14:textId="154AA476" w:rsidR="00071D9E" w:rsidRPr="00BF25E3" w:rsidRDefault="00071D9E" w:rsidP="00BF25E3">
      <w:pPr>
        <w:tabs>
          <w:tab w:val="left" w:pos="-24383"/>
        </w:tabs>
        <w:spacing w:line="360" w:lineRule="auto"/>
        <w:jc w:val="center"/>
        <w:rPr>
          <w:rFonts w:ascii="Times New Roman" w:hAnsi="Times New Roman" w:cs="Times New Roman"/>
          <w:b/>
          <w:color w:val="000000"/>
          <w:sz w:val="24"/>
          <w:szCs w:val="24"/>
        </w:rPr>
      </w:pPr>
      <w:r w:rsidRPr="00BF25E3">
        <w:rPr>
          <w:rFonts w:ascii="Times New Roman" w:hAnsi="Times New Roman" w:cs="Times New Roman"/>
          <w:b/>
          <w:color w:val="000000"/>
          <w:sz w:val="24"/>
          <w:szCs w:val="24"/>
        </w:rPr>
        <w:t>CAPÍTULO IV</w:t>
      </w:r>
    </w:p>
    <w:p w14:paraId="2B5D1CF6" w14:textId="77777777" w:rsidR="00071D9E" w:rsidRPr="00BF25E3" w:rsidRDefault="00071D9E" w:rsidP="00BF25E3">
      <w:pPr>
        <w:tabs>
          <w:tab w:val="left" w:pos="-24383"/>
        </w:tabs>
        <w:spacing w:line="360" w:lineRule="auto"/>
        <w:jc w:val="center"/>
        <w:rPr>
          <w:rFonts w:ascii="Times New Roman" w:hAnsi="Times New Roman" w:cs="Times New Roman"/>
          <w:b/>
          <w:color w:val="000000"/>
          <w:sz w:val="24"/>
          <w:szCs w:val="24"/>
        </w:rPr>
      </w:pPr>
      <w:r w:rsidRPr="00BF25E3">
        <w:rPr>
          <w:rFonts w:ascii="Times New Roman" w:hAnsi="Times New Roman" w:cs="Times New Roman"/>
          <w:b/>
          <w:color w:val="000000"/>
          <w:sz w:val="24"/>
          <w:szCs w:val="24"/>
        </w:rPr>
        <w:t>DISPOSIÇÕES TRANSITÓRIAS</w:t>
      </w:r>
    </w:p>
    <w:p w14:paraId="721C1EE4"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 9º</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A classificação da atividade econômica, em qualquer porte, não desobriga a observância do contido no Plano Diretor da Cidade de Niterói, bem como em demais legislações correlatas.</w:t>
      </w:r>
    </w:p>
    <w:p w14:paraId="526A64BF"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lastRenderedPageBreak/>
        <w:t xml:space="preserve">Art. 10. Independentemente da classificação da atividade econômica é obrigação do particular, previamente ao início de suas atividades, realizar o cadastro fiscal perante a Secretaria Municipal de Fazenda - SMF, na forma prevista no Inciso IX do Artigo 115 da Lei nº 2.597, de 30 de setembro de 2008 - Código Tributário Municipal. </w:t>
      </w:r>
    </w:p>
    <w:p w14:paraId="2A8CD786"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 11. Os direitos de que trata esta Lei devem ser compatibilizados com as normas que tratam de segurança nacional, segurança pública, ambiental, sanitária ou saúde pública.</w:t>
      </w:r>
    </w:p>
    <w:p w14:paraId="0BD37A2D"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Parágrafo </w:t>
      </w:r>
      <w:r w:rsidR="00BF25E3">
        <w:rPr>
          <w:rFonts w:ascii="Times New Roman" w:hAnsi="Times New Roman" w:cs="Times New Roman"/>
          <w:bCs/>
          <w:color w:val="000000"/>
          <w:sz w:val="24"/>
          <w:szCs w:val="24"/>
        </w:rPr>
        <w:t>Ú</w:t>
      </w:r>
      <w:r w:rsidRPr="00071D9E">
        <w:rPr>
          <w:rFonts w:ascii="Times New Roman" w:hAnsi="Times New Roman" w:cs="Times New Roman"/>
          <w:bCs/>
          <w:color w:val="000000"/>
          <w:sz w:val="24"/>
          <w:szCs w:val="24"/>
        </w:rPr>
        <w:t>nico. Em caso de eventual conflito de normas entre o disposto nesta Lei e uma norma específica, seja ela federal ou estadual, que trate de atos públicos de liberação ambientais, sanitários, de saúde pública ou de proteção contra o incêndio, estas últimas deverão ser observadas, afastando-se as disposições desta Lei.</w:t>
      </w:r>
    </w:p>
    <w:p w14:paraId="282A0D94"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 12. Os direitos de que trata esta Lei não se aplicam às normas de Direito Tributário, não prejudicando a incidência dos tributos municipais e as regras estabelecidas na legislação tributária municipal.</w:t>
      </w:r>
    </w:p>
    <w:p w14:paraId="755373E6" w14:textId="14E4CA1A" w:rsidR="00071D9E" w:rsidRP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 13. O art. 125 da Lei nº 2.597, de 30 de setembro de 2008 - Código Tributário Municipal., passa a vigorar com as seguintes alterações:</w:t>
      </w:r>
    </w:p>
    <w:p w14:paraId="4C76458D" w14:textId="77777777" w:rsidR="00BF25E3" w:rsidRPr="00BF25E3" w:rsidRDefault="00071D9E" w:rsidP="00BF25E3">
      <w:pPr>
        <w:tabs>
          <w:tab w:val="left" w:pos="-24383"/>
        </w:tabs>
        <w:spacing w:line="240" w:lineRule="auto"/>
        <w:ind w:left="1134" w:right="1559"/>
        <w:jc w:val="both"/>
        <w:rPr>
          <w:rFonts w:ascii="Times New Roman" w:hAnsi="Times New Roman" w:cs="Times New Roman"/>
          <w:bCs/>
          <w:i/>
          <w:iCs/>
          <w:color w:val="000000"/>
          <w:sz w:val="24"/>
          <w:szCs w:val="24"/>
        </w:rPr>
      </w:pPr>
      <w:r w:rsidRPr="00BF25E3">
        <w:rPr>
          <w:rFonts w:ascii="Times New Roman" w:hAnsi="Times New Roman" w:cs="Times New Roman"/>
          <w:bCs/>
          <w:i/>
          <w:iCs/>
          <w:color w:val="000000"/>
          <w:sz w:val="24"/>
          <w:szCs w:val="24"/>
        </w:rPr>
        <w:t xml:space="preserve"> “Art. 125 – (...)</w:t>
      </w:r>
    </w:p>
    <w:p w14:paraId="19BF4373" w14:textId="705703B4" w:rsidR="00071D9E" w:rsidRPr="00BF25E3" w:rsidRDefault="00071D9E" w:rsidP="00BF25E3">
      <w:pPr>
        <w:tabs>
          <w:tab w:val="left" w:pos="-24383"/>
        </w:tabs>
        <w:spacing w:line="240" w:lineRule="auto"/>
        <w:ind w:left="1134" w:right="1559"/>
        <w:jc w:val="both"/>
        <w:rPr>
          <w:rFonts w:ascii="Times New Roman" w:hAnsi="Times New Roman" w:cs="Times New Roman"/>
          <w:bCs/>
          <w:i/>
          <w:iCs/>
          <w:color w:val="000000"/>
          <w:sz w:val="24"/>
          <w:szCs w:val="24"/>
        </w:rPr>
      </w:pPr>
      <w:r w:rsidRPr="00BF25E3">
        <w:rPr>
          <w:rFonts w:ascii="Times New Roman" w:hAnsi="Times New Roman" w:cs="Times New Roman"/>
          <w:bCs/>
          <w:i/>
          <w:iCs/>
          <w:color w:val="000000"/>
          <w:sz w:val="24"/>
          <w:szCs w:val="24"/>
        </w:rPr>
        <w:t>§ 1</w:t>
      </w:r>
      <w:r w:rsidR="00BF25E3" w:rsidRPr="00BF25E3">
        <w:rPr>
          <w:rFonts w:ascii="Times New Roman" w:hAnsi="Times New Roman" w:cs="Times New Roman"/>
          <w:bCs/>
          <w:i/>
          <w:iCs/>
          <w:color w:val="000000"/>
          <w:sz w:val="24"/>
          <w:szCs w:val="24"/>
        </w:rPr>
        <w:t>º</w:t>
      </w:r>
      <w:r w:rsidRPr="00BF25E3">
        <w:rPr>
          <w:rFonts w:ascii="Times New Roman" w:hAnsi="Times New Roman" w:cs="Times New Roman"/>
          <w:bCs/>
          <w:i/>
          <w:iCs/>
          <w:color w:val="000000"/>
          <w:sz w:val="24"/>
          <w:szCs w:val="24"/>
        </w:rPr>
        <w:t xml:space="preserve"> – (...) </w:t>
      </w:r>
    </w:p>
    <w:p w14:paraId="4EED9EF7" w14:textId="61412FAD" w:rsidR="00071D9E" w:rsidRPr="00BF25E3" w:rsidRDefault="00071D9E" w:rsidP="00BF25E3">
      <w:pPr>
        <w:tabs>
          <w:tab w:val="left" w:pos="-24383"/>
        </w:tabs>
        <w:spacing w:line="240" w:lineRule="auto"/>
        <w:ind w:left="1134" w:right="1559"/>
        <w:jc w:val="both"/>
        <w:rPr>
          <w:rFonts w:ascii="Times New Roman" w:hAnsi="Times New Roman" w:cs="Times New Roman"/>
          <w:bCs/>
          <w:i/>
          <w:iCs/>
          <w:color w:val="000000"/>
          <w:sz w:val="24"/>
          <w:szCs w:val="24"/>
        </w:rPr>
      </w:pPr>
      <w:r w:rsidRPr="00BF25E3">
        <w:rPr>
          <w:rFonts w:ascii="Times New Roman" w:hAnsi="Times New Roman" w:cs="Times New Roman"/>
          <w:bCs/>
          <w:i/>
          <w:iCs/>
          <w:color w:val="000000"/>
          <w:sz w:val="24"/>
          <w:szCs w:val="24"/>
        </w:rPr>
        <w:t>§ 2</w:t>
      </w:r>
      <w:r w:rsidR="00BF25E3" w:rsidRPr="00BF25E3">
        <w:rPr>
          <w:rFonts w:ascii="Times New Roman" w:hAnsi="Times New Roman" w:cs="Times New Roman"/>
          <w:bCs/>
          <w:i/>
          <w:iCs/>
          <w:color w:val="000000"/>
          <w:sz w:val="24"/>
          <w:szCs w:val="24"/>
        </w:rPr>
        <w:t>º</w:t>
      </w:r>
      <w:r w:rsidRPr="00BF25E3">
        <w:rPr>
          <w:rFonts w:ascii="Times New Roman" w:hAnsi="Times New Roman" w:cs="Times New Roman"/>
          <w:bCs/>
          <w:i/>
          <w:iCs/>
          <w:color w:val="000000"/>
          <w:sz w:val="24"/>
          <w:szCs w:val="24"/>
        </w:rPr>
        <w:t xml:space="preserve"> -</w:t>
      </w:r>
      <w:r w:rsidR="00BF25E3">
        <w:rPr>
          <w:rFonts w:ascii="Times New Roman" w:hAnsi="Times New Roman" w:cs="Times New Roman"/>
          <w:bCs/>
          <w:i/>
          <w:iCs/>
          <w:color w:val="000000"/>
          <w:sz w:val="24"/>
          <w:szCs w:val="24"/>
        </w:rPr>
        <w:t xml:space="preserve"> </w:t>
      </w:r>
      <w:r w:rsidRPr="00BF25E3">
        <w:rPr>
          <w:rFonts w:ascii="Times New Roman" w:hAnsi="Times New Roman" w:cs="Times New Roman"/>
          <w:bCs/>
          <w:i/>
          <w:iCs/>
          <w:color w:val="000000"/>
          <w:sz w:val="24"/>
          <w:szCs w:val="24"/>
        </w:rPr>
        <w:t>A licença para estabelecimento será concedida mediante expedição de alvará, salvo nos casos previstos nesta Lei ou ainda, de atividades transitórias ou eventuais e das atividades econômicas previstas em lei específica que trate de Direitos de Liberdade Econômica do Município de Niterói.”</w:t>
      </w:r>
    </w:p>
    <w:p w14:paraId="3ED4BF48" w14:textId="6C70DFB0"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 14</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xml:space="preserve"> Ficam estabelecidas as seguintes diretrizes a serem observáveis pelos órgãos e pelas entidades da Administração Municipal, Direta e Indireta, nas relações entre si e com os usuários dos serviços públicos:</w:t>
      </w:r>
    </w:p>
    <w:p w14:paraId="0B811C21"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I – </w:t>
      </w:r>
      <w:proofErr w:type="gramStart"/>
      <w:r w:rsidRPr="00071D9E">
        <w:rPr>
          <w:rFonts w:ascii="Times New Roman" w:hAnsi="Times New Roman" w:cs="Times New Roman"/>
          <w:bCs/>
          <w:color w:val="000000"/>
          <w:sz w:val="24"/>
          <w:szCs w:val="24"/>
        </w:rPr>
        <w:t>presunção</w:t>
      </w:r>
      <w:proofErr w:type="gramEnd"/>
      <w:r w:rsidRPr="00071D9E">
        <w:rPr>
          <w:rFonts w:ascii="Times New Roman" w:hAnsi="Times New Roman" w:cs="Times New Roman"/>
          <w:bCs/>
          <w:color w:val="000000"/>
          <w:sz w:val="24"/>
          <w:szCs w:val="24"/>
        </w:rPr>
        <w:t xml:space="preserve"> de boa-fé;</w:t>
      </w:r>
    </w:p>
    <w:p w14:paraId="1F5D1C01"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II – </w:t>
      </w:r>
      <w:proofErr w:type="gramStart"/>
      <w:r w:rsidRPr="00071D9E">
        <w:rPr>
          <w:rFonts w:ascii="Times New Roman" w:hAnsi="Times New Roman" w:cs="Times New Roman"/>
          <w:bCs/>
          <w:color w:val="000000"/>
          <w:sz w:val="24"/>
          <w:szCs w:val="24"/>
        </w:rPr>
        <w:t>compartilhamento</w:t>
      </w:r>
      <w:proofErr w:type="gramEnd"/>
      <w:r w:rsidRPr="00071D9E">
        <w:rPr>
          <w:rFonts w:ascii="Times New Roman" w:hAnsi="Times New Roman" w:cs="Times New Roman"/>
          <w:bCs/>
          <w:color w:val="000000"/>
          <w:sz w:val="24"/>
          <w:szCs w:val="24"/>
        </w:rPr>
        <w:t xml:space="preserve"> de informações, sempre que possível, nos termos da lei e de sua regulamentação;</w:t>
      </w:r>
    </w:p>
    <w:p w14:paraId="1F38F2AA" w14:textId="4F919710" w:rsidR="00071D9E" w:rsidRP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lastRenderedPageBreak/>
        <w:t>III – atuação integrada e sistêmica na expedição de atestados, certidões e documentos comprobatórios ou semelhantes;</w:t>
      </w:r>
    </w:p>
    <w:p w14:paraId="66C2179B" w14:textId="77777777" w:rsidR="00071D9E" w:rsidRP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IV – </w:t>
      </w:r>
      <w:proofErr w:type="gramStart"/>
      <w:r w:rsidRPr="00071D9E">
        <w:rPr>
          <w:rFonts w:ascii="Times New Roman" w:hAnsi="Times New Roman" w:cs="Times New Roman"/>
          <w:bCs/>
          <w:color w:val="000000"/>
          <w:sz w:val="24"/>
          <w:szCs w:val="24"/>
        </w:rPr>
        <w:t>racionalização</w:t>
      </w:r>
      <w:proofErr w:type="gramEnd"/>
      <w:r w:rsidRPr="00071D9E">
        <w:rPr>
          <w:rFonts w:ascii="Times New Roman" w:hAnsi="Times New Roman" w:cs="Times New Roman"/>
          <w:bCs/>
          <w:color w:val="000000"/>
          <w:sz w:val="24"/>
          <w:szCs w:val="24"/>
        </w:rPr>
        <w:t xml:space="preserve"> de métodos e procedimentos de controle; e</w:t>
      </w:r>
    </w:p>
    <w:p w14:paraId="3F1089D3" w14:textId="77777777" w:rsidR="00071D9E" w:rsidRP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V – </w:t>
      </w:r>
      <w:proofErr w:type="gramStart"/>
      <w:r w:rsidRPr="00071D9E">
        <w:rPr>
          <w:rFonts w:ascii="Times New Roman" w:hAnsi="Times New Roman" w:cs="Times New Roman"/>
          <w:bCs/>
          <w:color w:val="000000"/>
          <w:sz w:val="24"/>
          <w:szCs w:val="24"/>
        </w:rPr>
        <w:t>eliminação</w:t>
      </w:r>
      <w:proofErr w:type="gramEnd"/>
      <w:r w:rsidRPr="00071D9E">
        <w:rPr>
          <w:rFonts w:ascii="Times New Roman" w:hAnsi="Times New Roman" w:cs="Times New Roman"/>
          <w:bCs/>
          <w:color w:val="000000"/>
          <w:sz w:val="24"/>
          <w:szCs w:val="24"/>
        </w:rPr>
        <w:t xml:space="preserve"> de formalidades e exigências cujo custo econômico ou social seja superior ao risco envolvido.</w:t>
      </w:r>
    </w:p>
    <w:p w14:paraId="7884286F" w14:textId="19283708" w:rsidR="00071D9E" w:rsidRP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Parágrafo </w:t>
      </w:r>
      <w:r w:rsidR="00BF25E3">
        <w:rPr>
          <w:rFonts w:ascii="Times New Roman" w:hAnsi="Times New Roman" w:cs="Times New Roman"/>
          <w:bCs/>
          <w:color w:val="000000"/>
          <w:sz w:val="24"/>
          <w:szCs w:val="24"/>
        </w:rPr>
        <w:t>Ú</w:t>
      </w:r>
      <w:r w:rsidRPr="00071D9E">
        <w:rPr>
          <w:rFonts w:ascii="Times New Roman" w:hAnsi="Times New Roman" w:cs="Times New Roman"/>
          <w:bCs/>
          <w:color w:val="000000"/>
          <w:sz w:val="24"/>
          <w:szCs w:val="24"/>
        </w:rPr>
        <w:t>nico: Para os fins desta Lei, consideram-se usuários de serviços públicos as pessoas físicas e as pessoas jurídicas, de direito público ou privado, diretamente atendidas pelos órgãos e pelas entidades da Administração Municipal, Direta e Indireta.</w:t>
      </w:r>
    </w:p>
    <w:p w14:paraId="011020CA" w14:textId="1D4EA085" w:rsidR="00071D9E" w:rsidRP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 15</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xml:space="preserve"> Ficam dispensados o reconhecimento de firma e a autenticação de cópia dos documentos expedidos no país que sejam destinados a fazer prova em órgãos e entidades da Administração Municipal, Direta e Indireta.</w:t>
      </w:r>
    </w:p>
    <w:p w14:paraId="62C69F9A" w14:textId="75CAD555" w:rsidR="00071D9E" w:rsidRP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 xml:space="preserve">Parágrafo </w:t>
      </w:r>
      <w:r w:rsidR="00BF25E3">
        <w:rPr>
          <w:rFonts w:ascii="Times New Roman" w:hAnsi="Times New Roman" w:cs="Times New Roman"/>
          <w:bCs/>
          <w:color w:val="000000"/>
          <w:sz w:val="24"/>
          <w:szCs w:val="24"/>
        </w:rPr>
        <w:t>Ú</w:t>
      </w:r>
      <w:r w:rsidRPr="00071D9E">
        <w:rPr>
          <w:rFonts w:ascii="Times New Roman" w:hAnsi="Times New Roman" w:cs="Times New Roman"/>
          <w:bCs/>
          <w:color w:val="000000"/>
          <w:sz w:val="24"/>
          <w:szCs w:val="24"/>
        </w:rPr>
        <w:t>nico: Havendo dúvida fundamentada quanto à autenticidade, poderá ser exigido o documento original ou a cópia autenticada.</w:t>
      </w:r>
    </w:p>
    <w:p w14:paraId="78E5B5F4" w14:textId="26A39EB6" w:rsidR="00071D9E" w:rsidRP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 16</w:t>
      </w:r>
      <w:r w:rsidR="00BF25E3">
        <w:rPr>
          <w:rFonts w:ascii="Times New Roman" w:hAnsi="Times New Roman" w:cs="Times New Roman"/>
          <w:bCs/>
          <w:color w:val="000000"/>
          <w:sz w:val="24"/>
          <w:szCs w:val="24"/>
        </w:rPr>
        <w:t>.</w:t>
      </w:r>
      <w:r w:rsidRPr="00071D9E">
        <w:rPr>
          <w:rFonts w:ascii="Times New Roman" w:hAnsi="Times New Roman" w:cs="Times New Roman"/>
          <w:bCs/>
          <w:color w:val="000000"/>
          <w:sz w:val="24"/>
          <w:szCs w:val="24"/>
        </w:rPr>
        <w:t xml:space="preserve"> O Executivo Municipal poderá regulamentar o processo de autenticação administrativa simplificada para os casos previstos no parágrafo único do art. 15 desta Lei.</w:t>
      </w:r>
    </w:p>
    <w:p w14:paraId="0CCA31A0" w14:textId="43DE83D1" w:rsidR="00BF25E3" w:rsidRPr="00071D9E"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 17. O Poder Executivo regulamentará esta Lei no prazo de trinta dias contados da data de vigência desta Lei.</w:t>
      </w:r>
    </w:p>
    <w:p w14:paraId="1E7C90AD" w14:textId="77777777" w:rsidR="00BF25E3" w:rsidRDefault="00071D9E" w:rsidP="00071D9E">
      <w:pPr>
        <w:tabs>
          <w:tab w:val="left" w:pos="-24383"/>
        </w:tabs>
        <w:spacing w:line="360" w:lineRule="auto"/>
        <w:jc w:val="both"/>
        <w:rPr>
          <w:rFonts w:ascii="Times New Roman" w:hAnsi="Times New Roman" w:cs="Times New Roman"/>
          <w:bCs/>
          <w:color w:val="000000"/>
          <w:sz w:val="24"/>
          <w:szCs w:val="24"/>
        </w:rPr>
      </w:pPr>
      <w:r w:rsidRPr="00071D9E">
        <w:rPr>
          <w:rFonts w:ascii="Times New Roman" w:hAnsi="Times New Roman" w:cs="Times New Roman"/>
          <w:bCs/>
          <w:color w:val="000000"/>
          <w:sz w:val="24"/>
          <w:szCs w:val="24"/>
        </w:rPr>
        <w:t>Art.</w:t>
      </w:r>
      <w:r w:rsidR="00BF25E3">
        <w:rPr>
          <w:rFonts w:ascii="Times New Roman" w:hAnsi="Times New Roman" w:cs="Times New Roman"/>
          <w:bCs/>
          <w:color w:val="000000"/>
          <w:sz w:val="24"/>
          <w:szCs w:val="24"/>
        </w:rPr>
        <w:t xml:space="preserve"> </w:t>
      </w:r>
      <w:r w:rsidRPr="00071D9E">
        <w:rPr>
          <w:rFonts w:ascii="Times New Roman" w:hAnsi="Times New Roman" w:cs="Times New Roman"/>
          <w:bCs/>
          <w:color w:val="000000"/>
          <w:sz w:val="24"/>
          <w:szCs w:val="24"/>
        </w:rPr>
        <w:t>18. Esta Lei entra em vigor em quarenta e cinco dias após a sua publicação.</w:t>
      </w:r>
    </w:p>
    <w:p w14:paraId="3BC32766" w14:textId="3D8D9F78" w:rsidR="00C975B0" w:rsidRPr="00232309" w:rsidRDefault="00C975B0" w:rsidP="005B39D5">
      <w:pPr>
        <w:tabs>
          <w:tab w:val="left" w:pos="-24383"/>
        </w:tabs>
        <w:spacing w:line="360" w:lineRule="auto"/>
        <w:jc w:val="both"/>
        <w:rPr>
          <w:rFonts w:ascii="Times New Roman" w:hAnsi="Times New Roman" w:cs="Times New Roman"/>
          <w:b/>
          <w:bCs/>
          <w:color w:val="000000"/>
          <w:sz w:val="24"/>
          <w:szCs w:val="24"/>
        </w:rPr>
      </w:pPr>
      <w:r w:rsidRPr="00232309">
        <w:rPr>
          <w:rFonts w:ascii="Times New Roman" w:hAnsi="Times New Roman" w:cs="Times New Roman"/>
          <w:b/>
          <w:bCs/>
          <w:color w:val="000000"/>
          <w:sz w:val="24"/>
          <w:szCs w:val="24"/>
        </w:rPr>
        <w:t>JUSTIFICATIVA</w:t>
      </w:r>
      <w:r w:rsidR="00101113">
        <w:rPr>
          <w:rFonts w:ascii="Times New Roman" w:hAnsi="Times New Roman" w:cs="Times New Roman"/>
          <w:b/>
          <w:bCs/>
          <w:color w:val="000000"/>
          <w:sz w:val="24"/>
          <w:szCs w:val="24"/>
        </w:rPr>
        <w:t>:</w:t>
      </w:r>
    </w:p>
    <w:p w14:paraId="65837F24" w14:textId="77777777" w:rsidR="00BF25E3" w:rsidRDefault="00BF25E3" w:rsidP="00BF25E3">
      <w:pPr>
        <w:tabs>
          <w:tab w:val="left" w:pos="-24383"/>
        </w:tabs>
        <w:spacing w:line="360" w:lineRule="auto"/>
        <w:jc w:val="both"/>
        <w:rPr>
          <w:rFonts w:ascii="Times New Roman" w:hAnsi="Times New Roman" w:cs="Times New Roman"/>
          <w:bCs/>
          <w:color w:val="000000"/>
          <w:sz w:val="24"/>
          <w:szCs w:val="24"/>
        </w:rPr>
      </w:pPr>
      <w:r w:rsidRPr="00BF25E3">
        <w:rPr>
          <w:rFonts w:ascii="Times New Roman" w:hAnsi="Times New Roman" w:cs="Times New Roman"/>
          <w:bCs/>
          <w:color w:val="000000"/>
          <w:sz w:val="24"/>
          <w:szCs w:val="24"/>
        </w:rPr>
        <w:t xml:space="preserve">O presente Projeto de Lei visa realizar a regulamentação municipal da Lei Federal N° 13.874/2019, que instituiu a Declaração de Direitos de Liberdade Econômica, legislação que tem como fito a redução de burocracias para a abertura de empresas, a melhora do ambiente de negócios e a promoção do pleno desenvolvimento econômico. </w:t>
      </w:r>
    </w:p>
    <w:p w14:paraId="268A6FA6" w14:textId="77777777" w:rsidR="00BF25E3" w:rsidRDefault="00BF25E3" w:rsidP="00BF25E3">
      <w:pPr>
        <w:tabs>
          <w:tab w:val="left" w:pos="-24383"/>
        </w:tabs>
        <w:spacing w:line="360" w:lineRule="auto"/>
        <w:jc w:val="both"/>
        <w:rPr>
          <w:rFonts w:ascii="Times New Roman" w:hAnsi="Times New Roman" w:cs="Times New Roman"/>
          <w:bCs/>
          <w:color w:val="000000"/>
          <w:sz w:val="24"/>
          <w:szCs w:val="24"/>
        </w:rPr>
      </w:pPr>
      <w:r w:rsidRPr="00BF25E3">
        <w:rPr>
          <w:rFonts w:ascii="Times New Roman" w:hAnsi="Times New Roman" w:cs="Times New Roman"/>
          <w:bCs/>
          <w:color w:val="000000"/>
          <w:sz w:val="24"/>
          <w:szCs w:val="24"/>
        </w:rPr>
        <w:t xml:space="preserve">A Declaração de Direitos de Liberdade Econômica a nível federal oferece vantagens para as empresas, como a flexibilização da folha de ponto para empresas abaixo de 20 (vinte) empregados, o fim da exigência de capital mínimo ou máximo por meio da criação da sociedade limitada unipessoal, a digitalização da Carteira de Trabalho e dos demais documentos relacionados a abertura </w:t>
      </w:r>
      <w:r w:rsidRPr="00BF25E3">
        <w:rPr>
          <w:rFonts w:ascii="Times New Roman" w:hAnsi="Times New Roman" w:cs="Times New Roman"/>
          <w:bCs/>
          <w:color w:val="000000"/>
          <w:sz w:val="24"/>
          <w:szCs w:val="24"/>
        </w:rPr>
        <w:lastRenderedPageBreak/>
        <w:t xml:space="preserve">de empresas, a criação do sistema de aprovação tácita para abertura de empresas e a separação do patrimônio da pessoa física e jurídica. </w:t>
      </w:r>
    </w:p>
    <w:p w14:paraId="0019C94C" w14:textId="77777777" w:rsidR="00BF25E3" w:rsidRDefault="00BF25E3" w:rsidP="00BF25E3">
      <w:pPr>
        <w:tabs>
          <w:tab w:val="left" w:pos="-24383"/>
        </w:tabs>
        <w:spacing w:line="360" w:lineRule="auto"/>
        <w:jc w:val="both"/>
        <w:rPr>
          <w:rFonts w:ascii="Times New Roman" w:hAnsi="Times New Roman" w:cs="Times New Roman"/>
          <w:bCs/>
          <w:color w:val="000000"/>
          <w:sz w:val="24"/>
          <w:szCs w:val="24"/>
        </w:rPr>
      </w:pPr>
      <w:r w:rsidRPr="00BF25E3">
        <w:rPr>
          <w:rFonts w:ascii="Times New Roman" w:hAnsi="Times New Roman" w:cs="Times New Roman"/>
          <w:bCs/>
          <w:color w:val="000000"/>
          <w:sz w:val="24"/>
          <w:szCs w:val="24"/>
        </w:rPr>
        <w:t xml:space="preserve">Todavia, a dispensa de alvará para as chamadas atividades econômicas de baixo risco, estabelecida na legislação e na Resolução CGSIM N° 57/2020 necessita de regulamentação municipal pelo fato </w:t>
      </w:r>
      <w:proofErr w:type="gramStart"/>
      <w:r w:rsidRPr="00BF25E3">
        <w:rPr>
          <w:rFonts w:ascii="Times New Roman" w:hAnsi="Times New Roman" w:cs="Times New Roman"/>
          <w:bCs/>
          <w:color w:val="000000"/>
          <w:sz w:val="24"/>
          <w:szCs w:val="24"/>
        </w:rPr>
        <w:t>da</w:t>
      </w:r>
      <w:proofErr w:type="gramEnd"/>
      <w:r w:rsidRPr="00BF25E3">
        <w:rPr>
          <w:rFonts w:ascii="Times New Roman" w:hAnsi="Times New Roman" w:cs="Times New Roman"/>
          <w:bCs/>
          <w:color w:val="000000"/>
          <w:sz w:val="24"/>
          <w:szCs w:val="24"/>
        </w:rPr>
        <w:t xml:space="preserve"> concessão da autorização para exercício de atividade econômica ser realizada pelo Poder Executivo municipal, através da Secretaria Municipal de Desenvolvimento Econômico e da Secretaria Municipal de Fazenda.</w:t>
      </w:r>
    </w:p>
    <w:p w14:paraId="740C0B20" w14:textId="77777777" w:rsidR="00BF25E3" w:rsidRDefault="00BF25E3" w:rsidP="00BF25E3">
      <w:pPr>
        <w:tabs>
          <w:tab w:val="left" w:pos="-24383"/>
        </w:tabs>
        <w:spacing w:line="360" w:lineRule="auto"/>
        <w:jc w:val="both"/>
        <w:rPr>
          <w:rFonts w:ascii="Times New Roman" w:hAnsi="Times New Roman" w:cs="Times New Roman"/>
          <w:bCs/>
          <w:color w:val="000000"/>
          <w:sz w:val="24"/>
          <w:szCs w:val="24"/>
        </w:rPr>
      </w:pPr>
      <w:r w:rsidRPr="00BF25E3">
        <w:rPr>
          <w:rFonts w:ascii="Times New Roman" w:hAnsi="Times New Roman" w:cs="Times New Roman"/>
          <w:bCs/>
          <w:color w:val="000000"/>
          <w:sz w:val="24"/>
          <w:szCs w:val="24"/>
        </w:rPr>
        <w:t>Vive-se um momento de grandes desafios, em que há pouca confiança dos cidadãos na própria Administração Pública e sua capacidade de simplificar a vida dos inúmeros empreendedores de Niterói, sem se descuidar do compromisso com o interesse público. Nesse contexto, a Lei de Liberdade Econômica Municipal promove o suporte necessário para que o cidadão compreenda o compromisso da Administração Pública com a sociedade e empreendedores da cidade, principalmente aqueles que representam significativa parcela da atividade econômica, que são as atividades classificadas como de baixo risco.</w:t>
      </w:r>
    </w:p>
    <w:p w14:paraId="570D8CDB" w14:textId="77777777" w:rsidR="00BF25E3" w:rsidRDefault="00BF25E3" w:rsidP="00BF25E3">
      <w:pPr>
        <w:tabs>
          <w:tab w:val="left" w:pos="-24383"/>
        </w:tabs>
        <w:spacing w:line="360" w:lineRule="auto"/>
        <w:jc w:val="both"/>
        <w:rPr>
          <w:rFonts w:ascii="Times New Roman" w:hAnsi="Times New Roman" w:cs="Times New Roman"/>
          <w:bCs/>
          <w:color w:val="000000"/>
          <w:sz w:val="24"/>
          <w:szCs w:val="24"/>
        </w:rPr>
      </w:pPr>
      <w:r w:rsidRPr="00BF25E3">
        <w:rPr>
          <w:rFonts w:ascii="Times New Roman" w:hAnsi="Times New Roman" w:cs="Times New Roman"/>
          <w:bCs/>
          <w:color w:val="000000"/>
          <w:sz w:val="24"/>
          <w:szCs w:val="24"/>
        </w:rPr>
        <w:t>Reafirmar e construir estruturas de governança, de transparência de análise, de previsibilidade regulatória e de estímulo ao empreendedor são partes determinantes no caminho para a prosperidade de Niterói, do Rio de Janeiro e do Brasil.</w:t>
      </w:r>
    </w:p>
    <w:p w14:paraId="5258C70A" w14:textId="77777777" w:rsidR="00BF25E3" w:rsidRDefault="00BF25E3" w:rsidP="00BF25E3">
      <w:pPr>
        <w:tabs>
          <w:tab w:val="left" w:pos="-24383"/>
        </w:tabs>
        <w:spacing w:line="360" w:lineRule="auto"/>
        <w:jc w:val="both"/>
        <w:rPr>
          <w:rFonts w:ascii="Times New Roman" w:hAnsi="Times New Roman" w:cs="Times New Roman"/>
          <w:bCs/>
          <w:color w:val="000000"/>
          <w:sz w:val="24"/>
          <w:szCs w:val="24"/>
        </w:rPr>
      </w:pPr>
      <w:r w:rsidRPr="00BF25E3">
        <w:rPr>
          <w:rFonts w:ascii="Times New Roman" w:hAnsi="Times New Roman" w:cs="Times New Roman"/>
          <w:bCs/>
          <w:color w:val="000000"/>
          <w:sz w:val="24"/>
          <w:szCs w:val="24"/>
        </w:rPr>
        <w:t xml:space="preserve">A legislação apresentada vai de encontro ao desejo de empreendedores e investidores que acreditam e querem investir na cidade, pois traz consigo previsibilidade e segurança jurídica nas relações entre o particular e a prefeitura. Essa simplificação das condições para a abertura de novos empreendimentos na cidade visa gerar cada vez mais empregos e consequentemente um aumento na renda per capita dos cidadãos niteroienses. </w:t>
      </w:r>
    </w:p>
    <w:p w14:paraId="57EF2037" w14:textId="77777777" w:rsidR="00BF25E3" w:rsidRDefault="00BF25E3" w:rsidP="00BF25E3">
      <w:pPr>
        <w:tabs>
          <w:tab w:val="left" w:pos="-24383"/>
        </w:tabs>
        <w:spacing w:line="360" w:lineRule="auto"/>
        <w:jc w:val="both"/>
        <w:rPr>
          <w:rFonts w:ascii="Times New Roman" w:hAnsi="Times New Roman" w:cs="Times New Roman"/>
          <w:bCs/>
          <w:color w:val="000000"/>
          <w:sz w:val="24"/>
          <w:szCs w:val="24"/>
        </w:rPr>
      </w:pPr>
      <w:r w:rsidRPr="00BF25E3">
        <w:rPr>
          <w:rFonts w:ascii="Times New Roman" w:hAnsi="Times New Roman" w:cs="Times New Roman"/>
          <w:bCs/>
          <w:color w:val="000000"/>
          <w:sz w:val="24"/>
          <w:szCs w:val="24"/>
        </w:rPr>
        <w:t>Cabe ressaltar que o Projeto de Lei ora apresentado não menciona qualquer possibilidade de concessão de alvará de funcionamento de caráter provisório para as atividades econômicas não classificadas como de alto risco, desenvolvidas exclusivamente em propriedade privada própria ou de terceiros consensuais. A medida é benéfica para o ambiente de negócios niteroienses, em razão de privilegiar a boa-fé do cidadão e a simplificação de abertura de novos negócios no município.</w:t>
      </w:r>
    </w:p>
    <w:p w14:paraId="5F67EAD9" w14:textId="77777777" w:rsidR="00BF25E3" w:rsidRDefault="00BF25E3" w:rsidP="00BF25E3">
      <w:pPr>
        <w:tabs>
          <w:tab w:val="left" w:pos="-24383"/>
        </w:tabs>
        <w:spacing w:line="360" w:lineRule="auto"/>
        <w:jc w:val="both"/>
        <w:rPr>
          <w:rFonts w:ascii="Times New Roman" w:hAnsi="Times New Roman" w:cs="Times New Roman"/>
          <w:bCs/>
          <w:color w:val="000000"/>
          <w:sz w:val="24"/>
          <w:szCs w:val="24"/>
        </w:rPr>
      </w:pPr>
      <w:r w:rsidRPr="00BF25E3">
        <w:rPr>
          <w:rFonts w:ascii="Times New Roman" w:hAnsi="Times New Roman" w:cs="Times New Roman"/>
          <w:bCs/>
          <w:color w:val="000000"/>
          <w:sz w:val="24"/>
          <w:szCs w:val="24"/>
        </w:rPr>
        <w:t xml:space="preserve">A cidade de Niterói, assim como boa parte das cidades brasileiras sofreu e ainda sofre com os danos econômicos causados pelas medidas de combate ao novo Coronavírus (COVID-19); segundo dados </w:t>
      </w:r>
      <w:r w:rsidRPr="00BF25E3">
        <w:rPr>
          <w:rFonts w:ascii="Times New Roman" w:hAnsi="Times New Roman" w:cs="Times New Roman"/>
          <w:bCs/>
          <w:color w:val="000000"/>
          <w:sz w:val="24"/>
          <w:szCs w:val="24"/>
        </w:rPr>
        <w:lastRenderedPageBreak/>
        <w:t>do Cadastro Geral de Empregados e Desempregados do Ministério da Economia (CAGED/ME), a cidade de Niterói teve no ano de 2020 35.263 admissões e 38.855 demissões, acabando com o saldo negativo de 3.952 postos de trabalho na cidade. As políticas de isolamento radical ajudaram neste cenário, mas as burocracias existentes para abrir empresas na cidade também colaboram com este cenário.</w:t>
      </w:r>
    </w:p>
    <w:p w14:paraId="5E87CE7B" w14:textId="77777777" w:rsidR="00BF25E3" w:rsidRDefault="00BF25E3" w:rsidP="00BF25E3">
      <w:pPr>
        <w:tabs>
          <w:tab w:val="left" w:pos="-24383"/>
        </w:tabs>
        <w:spacing w:line="360" w:lineRule="auto"/>
        <w:jc w:val="both"/>
        <w:rPr>
          <w:rFonts w:ascii="Times New Roman" w:hAnsi="Times New Roman" w:cs="Times New Roman"/>
          <w:bCs/>
          <w:color w:val="000000"/>
          <w:sz w:val="24"/>
          <w:szCs w:val="24"/>
        </w:rPr>
      </w:pPr>
      <w:r w:rsidRPr="00BF25E3">
        <w:rPr>
          <w:rFonts w:ascii="Times New Roman" w:hAnsi="Times New Roman" w:cs="Times New Roman"/>
          <w:bCs/>
          <w:color w:val="000000"/>
          <w:sz w:val="24"/>
          <w:szCs w:val="24"/>
        </w:rPr>
        <w:t>Para que a Administração Pública municipal possa dar uma resposta rápida para a retomada econômica de Niterói e que a cidade possa retomar os postos de trabalho perdidos devido a burocracia e a pandemia, apresentamos esta matéria visando colaborar com o fortalecimento da economia municipal e com o aumento de renda de nossa população.</w:t>
      </w:r>
    </w:p>
    <w:p w14:paraId="53E36FB8" w14:textId="5FE13A56" w:rsidR="00BF25E3" w:rsidRPr="00BF25E3" w:rsidRDefault="00BF25E3" w:rsidP="00BF25E3">
      <w:pPr>
        <w:tabs>
          <w:tab w:val="left" w:pos="-24383"/>
        </w:tabs>
        <w:spacing w:line="360" w:lineRule="auto"/>
        <w:jc w:val="both"/>
        <w:rPr>
          <w:rFonts w:ascii="Times New Roman" w:hAnsi="Times New Roman" w:cs="Times New Roman"/>
          <w:bCs/>
          <w:color w:val="000000"/>
          <w:sz w:val="24"/>
          <w:szCs w:val="24"/>
        </w:rPr>
      </w:pPr>
      <w:r w:rsidRPr="00BF25E3">
        <w:rPr>
          <w:rFonts w:ascii="Times New Roman" w:hAnsi="Times New Roman" w:cs="Times New Roman"/>
          <w:bCs/>
          <w:color w:val="000000"/>
          <w:sz w:val="24"/>
          <w:szCs w:val="24"/>
        </w:rPr>
        <w:t>Por todo o exposto, apresento o presente Projeto de Lei solicitando aos Nobre Pares desta Casa de Leis a aprovação desta matéria de relevante utilidade pública para o crescimento econômico da cidade de Niterói.</w:t>
      </w:r>
    </w:p>
    <w:p w14:paraId="0FD21914" w14:textId="77777777" w:rsidR="00366ACC" w:rsidRPr="00A004F3" w:rsidRDefault="00366ACC" w:rsidP="00A004F3">
      <w:pPr>
        <w:tabs>
          <w:tab w:val="left" w:pos="-24383"/>
        </w:tabs>
        <w:spacing w:line="360" w:lineRule="auto"/>
        <w:jc w:val="both"/>
        <w:rPr>
          <w:rFonts w:ascii="Times New Roman" w:hAnsi="Times New Roman" w:cs="Times New Roman"/>
          <w:bCs/>
          <w:color w:val="000000"/>
          <w:sz w:val="24"/>
          <w:szCs w:val="24"/>
        </w:rPr>
      </w:pPr>
    </w:p>
    <w:p w14:paraId="23C91AE7" w14:textId="58892D63" w:rsidR="00C975B0" w:rsidRDefault="00C975B0" w:rsidP="0092332D">
      <w:pPr>
        <w:tabs>
          <w:tab w:val="left" w:pos="-24383"/>
        </w:tabs>
        <w:spacing w:line="360" w:lineRule="auto"/>
        <w:jc w:val="center"/>
        <w:rPr>
          <w:rFonts w:ascii="Times New Roman" w:hAnsi="Times New Roman" w:cs="Times New Roman"/>
          <w:bCs/>
          <w:color w:val="000000"/>
          <w:sz w:val="24"/>
          <w:szCs w:val="24"/>
        </w:rPr>
      </w:pPr>
      <w:r w:rsidRPr="00232309">
        <w:rPr>
          <w:rFonts w:ascii="Times New Roman" w:hAnsi="Times New Roman" w:cs="Times New Roman"/>
          <w:bCs/>
          <w:color w:val="000000"/>
          <w:sz w:val="24"/>
          <w:szCs w:val="24"/>
        </w:rPr>
        <w:t xml:space="preserve">Niterói, </w:t>
      </w:r>
      <w:r w:rsidR="00366ACC">
        <w:rPr>
          <w:rFonts w:ascii="Times New Roman" w:hAnsi="Times New Roman" w:cs="Times New Roman"/>
          <w:bCs/>
          <w:color w:val="000000"/>
          <w:sz w:val="24"/>
          <w:szCs w:val="24"/>
        </w:rPr>
        <w:t>2</w:t>
      </w:r>
      <w:r w:rsidR="00BF25E3">
        <w:rPr>
          <w:rFonts w:ascii="Times New Roman" w:hAnsi="Times New Roman" w:cs="Times New Roman"/>
          <w:bCs/>
          <w:color w:val="000000"/>
          <w:sz w:val="24"/>
          <w:szCs w:val="24"/>
        </w:rPr>
        <w:t>8</w:t>
      </w:r>
      <w:r w:rsidRPr="00232309">
        <w:rPr>
          <w:rFonts w:ascii="Times New Roman" w:hAnsi="Times New Roman" w:cs="Times New Roman"/>
          <w:bCs/>
          <w:color w:val="000000"/>
          <w:sz w:val="24"/>
          <w:szCs w:val="24"/>
        </w:rPr>
        <w:t xml:space="preserve"> de </w:t>
      </w:r>
      <w:r w:rsidR="005A3E26">
        <w:rPr>
          <w:rFonts w:ascii="Times New Roman" w:hAnsi="Times New Roman" w:cs="Times New Roman"/>
          <w:bCs/>
          <w:color w:val="000000"/>
          <w:sz w:val="24"/>
          <w:szCs w:val="24"/>
        </w:rPr>
        <w:t>mai</w:t>
      </w:r>
      <w:r w:rsidRPr="00232309">
        <w:rPr>
          <w:rFonts w:ascii="Times New Roman" w:hAnsi="Times New Roman" w:cs="Times New Roman"/>
          <w:bCs/>
          <w:color w:val="000000"/>
          <w:sz w:val="24"/>
          <w:szCs w:val="24"/>
        </w:rPr>
        <w:t>o de 2021.</w:t>
      </w:r>
    </w:p>
    <w:p w14:paraId="219F16E4" w14:textId="77777777" w:rsidR="00BF25E3" w:rsidRDefault="00BF25E3" w:rsidP="0092332D">
      <w:pPr>
        <w:tabs>
          <w:tab w:val="left" w:pos="-24383"/>
        </w:tabs>
        <w:spacing w:line="360" w:lineRule="auto"/>
        <w:jc w:val="center"/>
        <w:rPr>
          <w:rFonts w:ascii="Times New Roman" w:hAnsi="Times New Roman" w:cs="Times New Roman"/>
          <w:bCs/>
          <w:color w:val="000000"/>
          <w:sz w:val="24"/>
          <w:szCs w:val="24"/>
        </w:rPr>
      </w:pPr>
    </w:p>
    <w:p w14:paraId="3B2ECE8A" w14:textId="77777777" w:rsidR="00366ACC" w:rsidRDefault="00366ACC" w:rsidP="00366ACC">
      <w:pPr>
        <w:tabs>
          <w:tab w:val="left" w:pos="-24383"/>
        </w:tabs>
        <w:spacing w:after="0" w:line="360" w:lineRule="auto"/>
        <w:jc w:val="center"/>
        <w:rPr>
          <w:rFonts w:ascii="Times New Roman" w:hAnsi="Times New Roman" w:cs="Times New Roman"/>
          <w:bCs/>
          <w:color w:val="000000"/>
          <w:sz w:val="24"/>
          <w:szCs w:val="24"/>
        </w:rPr>
      </w:pPr>
    </w:p>
    <w:p w14:paraId="47F49999" w14:textId="77777777" w:rsidR="005A3E26" w:rsidRDefault="005A3E26" w:rsidP="00C975B0">
      <w:pPr>
        <w:tabs>
          <w:tab w:val="left" w:pos="-24383"/>
        </w:tabs>
        <w:spacing w:after="0" w:line="240" w:lineRule="auto"/>
        <w:jc w:val="both"/>
        <w:rPr>
          <w:rFonts w:ascii="Times New Roman" w:hAnsi="Times New Roman" w:cs="Times New Roman"/>
          <w:bCs/>
          <w:color w:val="000000"/>
          <w:sz w:val="8"/>
          <w:szCs w:val="8"/>
        </w:rPr>
      </w:pPr>
    </w:p>
    <w:p w14:paraId="212CE565" w14:textId="3D5D8643" w:rsidR="00C975B0" w:rsidRPr="00232309" w:rsidRDefault="00C975B0" w:rsidP="00091C7C">
      <w:pPr>
        <w:tabs>
          <w:tab w:val="left" w:pos="-24383"/>
        </w:tabs>
        <w:spacing w:after="0" w:line="240" w:lineRule="auto"/>
        <w:jc w:val="center"/>
        <w:rPr>
          <w:rFonts w:ascii="Times New Roman" w:hAnsi="Times New Roman" w:cs="Times New Roman"/>
          <w:bCs/>
          <w:color w:val="000000"/>
          <w:sz w:val="24"/>
          <w:szCs w:val="24"/>
        </w:rPr>
      </w:pPr>
      <w:r w:rsidRPr="00232309">
        <w:rPr>
          <w:rFonts w:ascii="Times New Roman" w:hAnsi="Times New Roman" w:cs="Times New Roman"/>
          <w:bCs/>
          <w:color w:val="000000"/>
          <w:sz w:val="24"/>
          <w:szCs w:val="24"/>
        </w:rPr>
        <w:t>DOUGLAS DE SOUZA GOMES</w:t>
      </w:r>
    </w:p>
    <w:p w14:paraId="0F68B13A" w14:textId="1A62F74E" w:rsidR="00B77A0F" w:rsidRPr="00232309" w:rsidRDefault="00C975B0" w:rsidP="00091C7C">
      <w:pPr>
        <w:tabs>
          <w:tab w:val="left" w:pos="-24383"/>
        </w:tabs>
        <w:spacing w:after="0" w:line="240" w:lineRule="auto"/>
        <w:jc w:val="center"/>
        <w:rPr>
          <w:rFonts w:ascii="Times New Roman" w:hAnsi="Times New Roman" w:cs="Times New Roman"/>
          <w:sz w:val="24"/>
          <w:szCs w:val="24"/>
        </w:rPr>
      </w:pPr>
      <w:r w:rsidRPr="00232309">
        <w:rPr>
          <w:rFonts w:ascii="Times New Roman" w:hAnsi="Times New Roman" w:cs="Times New Roman"/>
          <w:bCs/>
          <w:color w:val="000000"/>
          <w:sz w:val="24"/>
          <w:szCs w:val="24"/>
        </w:rPr>
        <w:t>V</w:t>
      </w:r>
      <w:r w:rsidR="00091C7C">
        <w:rPr>
          <w:rFonts w:ascii="Times New Roman" w:hAnsi="Times New Roman" w:cs="Times New Roman"/>
          <w:bCs/>
          <w:color w:val="000000"/>
          <w:sz w:val="24"/>
          <w:szCs w:val="24"/>
        </w:rPr>
        <w:t xml:space="preserve">ereador </w:t>
      </w:r>
      <w:r w:rsidRPr="00232309">
        <w:rPr>
          <w:rFonts w:ascii="Times New Roman" w:hAnsi="Times New Roman" w:cs="Times New Roman"/>
          <w:bCs/>
          <w:color w:val="000000"/>
          <w:sz w:val="24"/>
          <w:szCs w:val="24"/>
        </w:rPr>
        <w:t>L</w:t>
      </w:r>
      <w:r w:rsidR="00091C7C">
        <w:rPr>
          <w:rFonts w:ascii="Times New Roman" w:hAnsi="Times New Roman" w:cs="Times New Roman"/>
          <w:bCs/>
          <w:color w:val="000000"/>
          <w:sz w:val="24"/>
          <w:szCs w:val="24"/>
        </w:rPr>
        <w:t>íder do</w:t>
      </w:r>
      <w:r w:rsidRPr="00232309">
        <w:rPr>
          <w:rFonts w:ascii="Times New Roman" w:hAnsi="Times New Roman" w:cs="Times New Roman"/>
          <w:bCs/>
          <w:color w:val="000000"/>
          <w:sz w:val="24"/>
          <w:szCs w:val="24"/>
        </w:rPr>
        <w:t xml:space="preserve"> PTC</w:t>
      </w:r>
    </w:p>
    <w:sectPr w:rsidR="00B77A0F" w:rsidRPr="00232309" w:rsidSect="00B227E0">
      <w:headerReference w:type="default" r:id="rId8"/>
      <w:footerReference w:type="default" r:id="rId9"/>
      <w:headerReference w:type="first" r:id="rId10"/>
      <w:footerReference w:type="first" r:id="rId11"/>
      <w:pgSz w:w="11906" w:h="16838"/>
      <w:pgMar w:top="415" w:right="1133" w:bottom="1134" w:left="1276" w:header="284" w:footer="1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C4AAB" w14:textId="77777777" w:rsidR="000B4C90" w:rsidRDefault="000B4C90" w:rsidP="00B77A0F">
      <w:pPr>
        <w:spacing w:after="0" w:line="240" w:lineRule="auto"/>
      </w:pPr>
      <w:r>
        <w:separator/>
      </w:r>
    </w:p>
  </w:endnote>
  <w:endnote w:type="continuationSeparator" w:id="0">
    <w:p w14:paraId="13011E6E" w14:textId="77777777" w:rsidR="000B4C90" w:rsidRDefault="000B4C90"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9E824" w14:textId="77777777" w:rsidR="0087211A" w:rsidRDefault="0087211A" w:rsidP="00B7530A">
    <w:pPr>
      <w:shd w:val="clear" w:color="auto" w:fill="FFFFFF"/>
      <w:spacing w:after="0" w:line="240" w:lineRule="auto"/>
      <w:jc w:val="center"/>
      <w:rPr>
        <w:rFonts w:ascii="Verdana" w:eastAsia="Times New Roman" w:hAnsi="Verdana" w:cs="Segoe UI"/>
        <w:color w:val="262626"/>
        <w:sz w:val="20"/>
        <w:szCs w:val="20"/>
        <w:lang w:eastAsia="pt-BR"/>
      </w:rPr>
    </w:pPr>
  </w:p>
  <w:p w14:paraId="621B8890" w14:textId="41A34496"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w:t>
    </w:r>
    <w:r w:rsidR="00B227E0">
      <w:rPr>
        <w:rFonts w:ascii="Verdana" w:eastAsia="Times New Roman" w:hAnsi="Verdana" w:cs="Segoe UI"/>
        <w:color w:val="262626"/>
        <w:sz w:val="20"/>
        <w:szCs w:val="20"/>
        <w:lang w:eastAsia="pt-BR"/>
      </w:rPr>
      <w:t>36</w:t>
    </w:r>
    <w:r>
      <w:rPr>
        <w:rFonts w:ascii="Verdana" w:eastAsia="Times New Roman" w:hAnsi="Verdana" w:cs="Segoe UI"/>
        <w:color w:val="262626"/>
        <w:sz w:val="20"/>
        <w:szCs w:val="20"/>
        <w:lang w:eastAsia="pt-BR"/>
      </w:rPr>
      <w:t xml:space="preserve">, </w:t>
    </w:r>
    <w:r w:rsidRPr="00427749">
      <w:rPr>
        <w:rFonts w:ascii="Verdana" w:eastAsia="Times New Roman" w:hAnsi="Verdana" w:cs="Segoe UI"/>
        <w:color w:val="262626"/>
        <w:sz w:val="20"/>
        <w:szCs w:val="20"/>
        <w:lang w:eastAsia="pt-BR"/>
      </w:rPr>
      <w:t>Centro Niterói, CEP 24.020.073</w:t>
    </w:r>
  </w:p>
  <w:p w14:paraId="5552F432" w14:textId="356C39E2" w:rsidR="0087211A" w:rsidRDefault="0087211A" w:rsidP="00B7530A">
    <w:pPr>
      <w:shd w:val="clear" w:color="auto" w:fill="FFFFFF"/>
      <w:spacing w:after="0" w:line="240" w:lineRule="auto"/>
      <w:jc w:val="center"/>
      <w:rPr>
        <w:rFonts w:ascii="Verdana" w:eastAsia="Times New Roman" w:hAnsi="Verdana" w:cs="Segoe UI"/>
        <w:color w:val="262626"/>
        <w:sz w:val="20"/>
        <w:szCs w:val="20"/>
        <w:lang w:eastAsia="pt-BR"/>
      </w:rPr>
    </w:pPr>
    <w:r w:rsidRPr="00427749">
      <w:rPr>
        <w:rFonts w:ascii="Verdana" w:eastAsia="Times New Roman" w:hAnsi="Verdana" w:cs="Segoe UI"/>
        <w:color w:val="262626"/>
        <w:sz w:val="20"/>
        <w:szCs w:val="20"/>
        <w:lang w:eastAsia="pt-BR"/>
      </w:rPr>
      <w:t>Telefones: 3716-8600 - 2621-3113</w:t>
    </w:r>
  </w:p>
  <w:p w14:paraId="13F55D35" w14:textId="77777777" w:rsidR="00B31741" w:rsidRPr="00427749" w:rsidRDefault="00B31741" w:rsidP="00B7530A">
    <w:pPr>
      <w:shd w:val="clear" w:color="auto" w:fill="FFFFFF"/>
      <w:spacing w:after="0" w:line="240" w:lineRule="auto"/>
      <w:jc w:val="center"/>
      <w:rPr>
        <w:rFonts w:ascii="Segoe UI" w:eastAsia="Times New Roman" w:hAnsi="Segoe UI" w:cs="Segoe UI"/>
        <w:color w:val="000000"/>
        <w:sz w:val="20"/>
        <w:szCs w:val="20"/>
        <w:lang w:eastAsia="pt-BR"/>
      </w:rPr>
    </w:pPr>
  </w:p>
  <w:p w14:paraId="6A6F13FA" w14:textId="77777777" w:rsidR="0087211A" w:rsidRDefault="0087211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DB9EC"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89, </w:t>
    </w:r>
    <w:r w:rsidRPr="00427749">
      <w:rPr>
        <w:rFonts w:ascii="Verdana" w:eastAsia="Times New Roman" w:hAnsi="Verdana" w:cs="Segoe UI"/>
        <w:color w:val="262626"/>
        <w:sz w:val="20"/>
        <w:szCs w:val="20"/>
        <w:lang w:eastAsia="pt-BR"/>
      </w:rPr>
      <w:t>Centro Niterói, CEP 24.020.073</w:t>
    </w:r>
  </w:p>
  <w:p w14:paraId="3542684E" w14:textId="77777777" w:rsidR="0087211A" w:rsidRPr="00B7530A"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AEF65" w14:textId="77777777" w:rsidR="000B4C90" w:rsidRDefault="000B4C90" w:rsidP="00B77A0F">
      <w:pPr>
        <w:spacing w:after="0" w:line="240" w:lineRule="auto"/>
      </w:pPr>
      <w:r>
        <w:separator/>
      </w:r>
    </w:p>
  </w:footnote>
  <w:footnote w:type="continuationSeparator" w:id="0">
    <w:p w14:paraId="16A9D727" w14:textId="77777777" w:rsidR="000B4C90" w:rsidRDefault="000B4C90" w:rsidP="00B77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F4DAC" w14:textId="7001AFAF" w:rsidR="0087211A" w:rsidRDefault="000B4C90" w:rsidP="00B7530A">
    <w:pPr>
      <w:pBdr>
        <w:bottom w:val="single" w:sz="4" w:space="1" w:color="auto"/>
      </w:pBdr>
      <w:spacing w:after="0" w:line="240" w:lineRule="auto"/>
      <w:jc w:val="center"/>
    </w:pPr>
    <w:sdt>
      <w:sdtPr>
        <w:id w:val="393940357"/>
        <w:docPartObj>
          <w:docPartGallery w:val="Page Numbers (Margins)"/>
          <w:docPartUnique/>
        </w:docPartObj>
      </w:sdtPr>
      <w:sdtEndPr/>
      <w:sdtContent>
        <w:r w:rsidR="005F53B9">
          <w:rPr>
            <w:noProof/>
          </w:rPr>
          <mc:AlternateContent>
            <mc:Choice Requires="wps">
              <w:drawing>
                <wp:anchor distT="0" distB="0" distL="114300" distR="114300" simplePos="0" relativeHeight="251659264" behindDoc="0" locked="0" layoutInCell="0" allowOverlap="1" wp14:anchorId="64B913D1" wp14:editId="0B4CE6A3">
                  <wp:simplePos x="0" y="0"/>
                  <wp:positionH relativeFrom="rightMargin">
                    <wp:align>right</wp:align>
                  </wp:positionH>
                  <mc:AlternateContent>
                    <mc:Choice Requires="wp14">
                      <wp:positionV relativeFrom="margin">
                        <wp14:pctPosVOffset>10000</wp14:pctPosVOffset>
                      </wp:positionV>
                    </mc:Choice>
                    <mc:Fallback>
                      <wp:positionV relativeFrom="page">
                        <wp:posOffset>1233805</wp:posOffset>
                      </wp:positionV>
                    </mc:Fallback>
                  </mc:AlternateContent>
                  <wp:extent cx="819150" cy="433705"/>
                  <wp:effectExtent l="0" t="0" r="1905" b="444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3A21FA" w14:textId="0B11D578" w:rsidR="005F53B9" w:rsidRPr="005F53B9" w:rsidRDefault="005F53B9" w:rsidP="003634D6">
                              <w:pPr>
                                <w:pBdr>
                                  <w:top w:val="single" w:sz="4" w:space="1" w:color="D8D8D8" w:themeColor="background1" w:themeShade="D8"/>
                                </w:pBdr>
                                <w:jc w:val="center"/>
                                <w:rPr>
                                  <w:rFonts w:ascii="Times New Roman" w:hAnsi="Times New Roman" w:cs="Times New Roman"/>
                                  <w:sz w:val="16"/>
                                  <w:szCs w:val="16"/>
                                </w:rPr>
                              </w:pPr>
                              <w:r w:rsidRPr="005F53B9">
                                <w:rPr>
                                  <w:rFonts w:ascii="Times New Roman" w:hAnsi="Times New Roman" w:cs="Times New Roman"/>
                                  <w:sz w:val="16"/>
                                  <w:szCs w:val="16"/>
                                </w:rPr>
                                <w:fldChar w:fldCharType="begin"/>
                              </w:r>
                              <w:r w:rsidRPr="005F53B9">
                                <w:rPr>
                                  <w:rFonts w:ascii="Times New Roman" w:hAnsi="Times New Roman" w:cs="Times New Roman"/>
                                  <w:sz w:val="16"/>
                                  <w:szCs w:val="16"/>
                                </w:rPr>
                                <w:instrText>PAGE   \* MERGEFORMAT</w:instrText>
                              </w:r>
                              <w:r w:rsidRPr="005F53B9">
                                <w:rPr>
                                  <w:rFonts w:ascii="Times New Roman" w:hAnsi="Times New Roman" w:cs="Times New Roman"/>
                                  <w:sz w:val="16"/>
                                  <w:szCs w:val="16"/>
                                </w:rPr>
                                <w:fldChar w:fldCharType="separate"/>
                              </w:r>
                              <w:r w:rsidRPr="005F53B9">
                                <w:rPr>
                                  <w:rFonts w:ascii="Times New Roman" w:hAnsi="Times New Roman" w:cs="Times New Roman"/>
                                  <w:sz w:val="16"/>
                                  <w:szCs w:val="16"/>
                                </w:rPr>
                                <w:t>2</w:t>
                              </w:r>
                              <w:r w:rsidRPr="005F53B9">
                                <w:rPr>
                                  <w:rFonts w:ascii="Times New Roman" w:hAnsi="Times New Roman" w:cs="Times New Roman"/>
                                  <w:sz w:val="16"/>
                                  <w:szCs w:val="16"/>
                                </w:rPr>
                                <w:fldChar w:fldCharType="end"/>
                              </w:r>
                              <w:r>
                                <w:rPr>
                                  <w:rFonts w:ascii="Times New Roman" w:hAnsi="Times New Roman" w:cs="Times New Roman"/>
                                  <w:sz w:val="16"/>
                                  <w:szCs w:val="16"/>
                                </w:rPr>
                                <w:t>/</w:t>
                              </w:r>
                              <w:r w:rsidR="008C02CB">
                                <w:rPr>
                                  <w:rFonts w:ascii="Times New Roman" w:hAnsi="Times New Roman" w:cs="Times New Roman"/>
                                  <w:sz w:val="16"/>
                                  <w:szCs w:val="16"/>
                                </w:rPr>
                                <w:t>9</w:t>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64B913D1" id="Retângulo 1" o:spid="_x0000_s1026" style="position:absolute;left:0;text-align:left;margin-left:13.3pt;margin-top:0;width:64.5pt;height:34.15pt;z-index:251659264;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" o:allowincell="f" stroked="f">
                  <v:textbox style="mso-fit-shape-to-text:t" inset="0,,0">
                    <w:txbxContent>
                      <w:p w14:paraId="2B3A21FA" w14:textId="0B11D578" w:rsidR="005F53B9" w:rsidRPr="005F53B9" w:rsidRDefault="005F53B9" w:rsidP="003634D6">
                        <w:pPr>
                          <w:pBdr>
                            <w:top w:val="single" w:sz="4" w:space="1" w:color="D8D8D8" w:themeColor="background1" w:themeShade="D8"/>
                          </w:pBdr>
                          <w:jc w:val="center"/>
                          <w:rPr>
                            <w:rFonts w:ascii="Times New Roman" w:hAnsi="Times New Roman" w:cs="Times New Roman"/>
                            <w:sz w:val="16"/>
                            <w:szCs w:val="16"/>
                          </w:rPr>
                        </w:pPr>
                        <w:r w:rsidRPr="005F53B9">
                          <w:rPr>
                            <w:rFonts w:ascii="Times New Roman" w:hAnsi="Times New Roman" w:cs="Times New Roman"/>
                            <w:sz w:val="16"/>
                            <w:szCs w:val="16"/>
                          </w:rPr>
                          <w:fldChar w:fldCharType="begin"/>
                        </w:r>
                        <w:r w:rsidRPr="005F53B9">
                          <w:rPr>
                            <w:rFonts w:ascii="Times New Roman" w:hAnsi="Times New Roman" w:cs="Times New Roman"/>
                            <w:sz w:val="16"/>
                            <w:szCs w:val="16"/>
                          </w:rPr>
                          <w:instrText>PAGE   \* MERGEFORMAT</w:instrText>
                        </w:r>
                        <w:r w:rsidRPr="005F53B9">
                          <w:rPr>
                            <w:rFonts w:ascii="Times New Roman" w:hAnsi="Times New Roman" w:cs="Times New Roman"/>
                            <w:sz w:val="16"/>
                            <w:szCs w:val="16"/>
                          </w:rPr>
                          <w:fldChar w:fldCharType="separate"/>
                        </w:r>
                        <w:r w:rsidRPr="005F53B9">
                          <w:rPr>
                            <w:rFonts w:ascii="Times New Roman" w:hAnsi="Times New Roman" w:cs="Times New Roman"/>
                            <w:sz w:val="16"/>
                            <w:szCs w:val="16"/>
                          </w:rPr>
                          <w:t>2</w:t>
                        </w:r>
                        <w:r w:rsidRPr="005F53B9">
                          <w:rPr>
                            <w:rFonts w:ascii="Times New Roman" w:hAnsi="Times New Roman" w:cs="Times New Roman"/>
                            <w:sz w:val="16"/>
                            <w:szCs w:val="16"/>
                          </w:rPr>
                          <w:fldChar w:fldCharType="end"/>
                        </w:r>
                        <w:r>
                          <w:rPr>
                            <w:rFonts w:ascii="Times New Roman" w:hAnsi="Times New Roman" w:cs="Times New Roman"/>
                            <w:sz w:val="16"/>
                            <w:szCs w:val="16"/>
                          </w:rPr>
                          <w:t>/</w:t>
                        </w:r>
                        <w:r w:rsidR="008C02CB">
                          <w:rPr>
                            <w:rFonts w:ascii="Times New Roman" w:hAnsi="Times New Roman" w:cs="Times New Roman"/>
                            <w:sz w:val="16"/>
                            <w:szCs w:val="16"/>
                          </w:rPr>
                          <w:t>9</w:t>
                        </w:r>
                      </w:p>
                    </w:txbxContent>
                  </v:textbox>
                  <w10:wrap anchorx="margin" anchory="margin"/>
                </v:rect>
              </w:pict>
            </mc:Fallback>
          </mc:AlternateContent>
        </w:r>
      </w:sdtContent>
    </w:sdt>
    <w:r w:rsidR="0087211A">
      <w:rPr>
        <w:noProof/>
        <w:lang w:eastAsia="pt-BR"/>
      </w:rPr>
      <w:drawing>
        <wp:inline distT="0" distB="0" distL="0" distR="0" wp14:anchorId="6A7756E9" wp14:editId="3456A24C">
          <wp:extent cx="480060" cy="595275"/>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3FD8B2D4"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 w:val="28"/>
        <w:szCs w:val="48"/>
        <w:lang w:eastAsia="ar-SA"/>
      </w:rPr>
    </w:pPr>
    <w:r w:rsidRPr="00293B95">
      <w:rPr>
        <w:rFonts w:ascii="Tahoma" w:eastAsia="Times New Roman" w:hAnsi="Tahoma" w:cs="Tahoma"/>
        <w:b/>
        <w:bCs/>
        <w:sz w:val="28"/>
        <w:szCs w:val="48"/>
        <w:lang w:eastAsia="ar-SA"/>
      </w:rPr>
      <w:t>Câmara Municipal de Niterói</w:t>
    </w:r>
  </w:p>
  <w:p w14:paraId="77513D8A"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sz w:val="2"/>
        <w:szCs w:val="4"/>
        <w:lang w:eastAsia="ar-SA"/>
      </w:rPr>
    </w:pPr>
  </w:p>
  <w:p w14:paraId="02B2BEC3" w14:textId="77648D60"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Cs w:val="28"/>
        <w:lang w:eastAsia="ar-SA"/>
      </w:rPr>
    </w:pPr>
    <w:r w:rsidRPr="00293B95">
      <w:rPr>
        <w:rFonts w:ascii="Tahoma" w:eastAsia="Times New Roman" w:hAnsi="Tahoma" w:cs="Tahoma"/>
        <w:b/>
        <w:bCs/>
        <w:szCs w:val="28"/>
        <w:lang w:eastAsia="ar-SA"/>
      </w:rPr>
      <w:t xml:space="preserve">Gabinete Vereador </w:t>
    </w:r>
    <w:r w:rsidRPr="00B227E0">
      <w:rPr>
        <w:rFonts w:ascii="Tahoma" w:eastAsia="Times New Roman" w:hAnsi="Tahoma" w:cs="Tahoma"/>
        <w:b/>
        <w:bCs/>
        <w:szCs w:val="28"/>
        <w:lang w:eastAsia="ar-SA"/>
      </w:rPr>
      <w:t>Douglas Gomes</w:t>
    </w:r>
  </w:p>
  <w:p w14:paraId="3017A1E4" w14:textId="77777777" w:rsidR="0087211A" w:rsidRDefault="0087211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83AC" w14:textId="77777777" w:rsidR="0087211A" w:rsidRDefault="0087211A" w:rsidP="00B7530A">
    <w:pPr>
      <w:pBdr>
        <w:bottom w:val="single" w:sz="4" w:space="1" w:color="auto"/>
      </w:pBdr>
      <w:spacing w:after="0" w:line="240" w:lineRule="auto"/>
      <w:jc w:val="center"/>
    </w:pPr>
    <w:r>
      <w:rPr>
        <w:noProof/>
        <w:lang w:eastAsia="pt-BR"/>
      </w:rPr>
      <w:drawing>
        <wp:inline distT="0" distB="0" distL="0" distR="0" wp14:anchorId="73BB876D" wp14:editId="7C4749DE">
          <wp:extent cx="600075" cy="744094"/>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7F703080" w14:textId="77777777" w:rsidR="0087211A" w:rsidRDefault="0087211A" w:rsidP="00B7530A">
    <w:pPr>
      <w:pBdr>
        <w:bottom w:val="single" w:sz="4" w:space="1" w:color="auto"/>
      </w:pBdr>
      <w:spacing w:after="0" w:line="240" w:lineRule="auto"/>
      <w:jc w:val="center"/>
    </w:pPr>
    <w:r>
      <w:t>Câmara Municipal de Niterói</w:t>
    </w:r>
  </w:p>
  <w:p w14:paraId="0E01A899" w14:textId="77777777" w:rsidR="0087211A" w:rsidRDefault="0087211A" w:rsidP="00B7530A">
    <w:pPr>
      <w:pBdr>
        <w:bottom w:val="single" w:sz="4" w:space="1" w:color="auto"/>
      </w:pBdr>
      <w:spacing w:after="0" w:line="240" w:lineRule="auto"/>
      <w:jc w:val="center"/>
    </w:pPr>
    <w:r>
      <w:t xml:space="preserve">Gabinete do Vereador – Daniel Marques – PV </w:t>
    </w:r>
  </w:p>
  <w:p w14:paraId="70ADA010" w14:textId="77777777" w:rsidR="0087211A" w:rsidRPr="00B7530A" w:rsidRDefault="0087211A" w:rsidP="00B7530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34CE1"/>
    <w:multiLevelType w:val="hybridMultilevel"/>
    <w:tmpl w:val="1A663C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1F661A6"/>
    <w:multiLevelType w:val="hybridMultilevel"/>
    <w:tmpl w:val="39DE7A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B23"/>
    <w:rsid w:val="00000F08"/>
    <w:rsid w:val="00002B39"/>
    <w:rsid w:val="00002FF5"/>
    <w:rsid w:val="0000556D"/>
    <w:rsid w:val="00006A3B"/>
    <w:rsid w:val="00006F16"/>
    <w:rsid w:val="000070B3"/>
    <w:rsid w:val="000078D3"/>
    <w:rsid w:val="00010F9D"/>
    <w:rsid w:val="00011F20"/>
    <w:rsid w:val="00016ED3"/>
    <w:rsid w:val="00020C9A"/>
    <w:rsid w:val="000216ED"/>
    <w:rsid w:val="00027C3D"/>
    <w:rsid w:val="00041DAA"/>
    <w:rsid w:val="00042E08"/>
    <w:rsid w:val="00043E9B"/>
    <w:rsid w:val="0005074B"/>
    <w:rsid w:val="00050A3B"/>
    <w:rsid w:val="00054C08"/>
    <w:rsid w:val="00056AE9"/>
    <w:rsid w:val="00060273"/>
    <w:rsid w:val="00060479"/>
    <w:rsid w:val="000651C0"/>
    <w:rsid w:val="00071D9E"/>
    <w:rsid w:val="00073DD7"/>
    <w:rsid w:val="000742E4"/>
    <w:rsid w:val="00080477"/>
    <w:rsid w:val="000823A8"/>
    <w:rsid w:val="00082831"/>
    <w:rsid w:val="0008687E"/>
    <w:rsid w:val="00087715"/>
    <w:rsid w:val="00090427"/>
    <w:rsid w:val="00090A21"/>
    <w:rsid w:val="000916C2"/>
    <w:rsid w:val="00091C7C"/>
    <w:rsid w:val="00091DB5"/>
    <w:rsid w:val="00091EA2"/>
    <w:rsid w:val="00093528"/>
    <w:rsid w:val="00093AFC"/>
    <w:rsid w:val="000A239E"/>
    <w:rsid w:val="000A3C0B"/>
    <w:rsid w:val="000A51FF"/>
    <w:rsid w:val="000A6E5F"/>
    <w:rsid w:val="000A7E89"/>
    <w:rsid w:val="000B0398"/>
    <w:rsid w:val="000B08B5"/>
    <w:rsid w:val="000B153C"/>
    <w:rsid w:val="000B22ED"/>
    <w:rsid w:val="000B4C90"/>
    <w:rsid w:val="000B589C"/>
    <w:rsid w:val="000C505C"/>
    <w:rsid w:val="000C6E15"/>
    <w:rsid w:val="000C6E22"/>
    <w:rsid w:val="000C724C"/>
    <w:rsid w:val="000D1643"/>
    <w:rsid w:val="000D1763"/>
    <w:rsid w:val="000D17C9"/>
    <w:rsid w:val="000D1AF7"/>
    <w:rsid w:val="000D5CDF"/>
    <w:rsid w:val="000D62AF"/>
    <w:rsid w:val="000E193E"/>
    <w:rsid w:val="000E4AA3"/>
    <w:rsid w:val="000E5388"/>
    <w:rsid w:val="000E69D6"/>
    <w:rsid w:val="000E78D3"/>
    <w:rsid w:val="000F19BD"/>
    <w:rsid w:val="000F32FE"/>
    <w:rsid w:val="000F3D86"/>
    <w:rsid w:val="000F7220"/>
    <w:rsid w:val="00100766"/>
    <w:rsid w:val="0010107F"/>
    <w:rsid w:val="00101113"/>
    <w:rsid w:val="0010362C"/>
    <w:rsid w:val="00106381"/>
    <w:rsid w:val="00106B4C"/>
    <w:rsid w:val="001079C1"/>
    <w:rsid w:val="00110808"/>
    <w:rsid w:val="00111673"/>
    <w:rsid w:val="00112826"/>
    <w:rsid w:val="00113612"/>
    <w:rsid w:val="00113845"/>
    <w:rsid w:val="001202E1"/>
    <w:rsid w:val="001259B7"/>
    <w:rsid w:val="001266DD"/>
    <w:rsid w:val="00126BAF"/>
    <w:rsid w:val="00126EAF"/>
    <w:rsid w:val="00127C56"/>
    <w:rsid w:val="0013110C"/>
    <w:rsid w:val="00133BED"/>
    <w:rsid w:val="001349B9"/>
    <w:rsid w:val="00134AE1"/>
    <w:rsid w:val="00135F02"/>
    <w:rsid w:val="00142541"/>
    <w:rsid w:val="00143941"/>
    <w:rsid w:val="0014410D"/>
    <w:rsid w:val="0014752D"/>
    <w:rsid w:val="00150113"/>
    <w:rsid w:val="0015077B"/>
    <w:rsid w:val="001523D5"/>
    <w:rsid w:val="00160D08"/>
    <w:rsid w:val="00162852"/>
    <w:rsid w:val="00163D2B"/>
    <w:rsid w:val="0016632B"/>
    <w:rsid w:val="0017166B"/>
    <w:rsid w:val="00173FEE"/>
    <w:rsid w:val="001742E8"/>
    <w:rsid w:val="00174E19"/>
    <w:rsid w:val="00175651"/>
    <w:rsid w:val="001779C9"/>
    <w:rsid w:val="00181122"/>
    <w:rsid w:val="0018117A"/>
    <w:rsid w:val="00181883"/>
    <w:rsid w:val="00184E33"/>
    <w:rsid w:val="00185FBC"/>
    <w:rsid w:val="00186603"/>
    <w:rsid w:val="00191C3E"/>
    <w:rsid w:val="00192F20"/>
    <w:rsid w:val="00197500"/>
    <w:rsid w:val="001A2FC3"/>
    <w:rsid w:val="001A3EB3"/>
    <w:rsid w:val="001A534A"/>
    <w:rsid w:val="001A5532"/>
    <w:rsid w:val="001A6C77"/>
    <w:rsid w:val="001A7B77"/>
    <w:rsid w:val="001B1228"/>
    <w:rsid w:val="001B15B8"/>
    <w:rsid w:val="001B2DC5"/>
    <w:rsid w:val="001B6981"/>
    <w:rsid w:val="001B77B2"/>
    <w:rsid w:val="001C1F5E"/>
    <w:rsid w:val="001C2565"/>
    <w:rsid w:val="001C2C18"/>
    <w:rsid w:val="001D2E58"/>
    <w:rsid w:val="001D33E7"/>
    <w:rsid w:val="001D570C"/>
    <w:rsid w:val="001D7217"/>
    <w:rsid w:val="001D7E77"/>
    <w:rsid w:val="001E0A21"/>
    <w:rsid w:val="001E1DED"/>
    <w:rsid w:val="001E2D1C"/>
    <w:rsid w:val="001E3ABA"/>
    <w:rsid w:val="001E675A"/>
    <w:rsid w:val="001E6787"/>
    <w:rsid w:val="001E7431"/>
    <w:rsid w:val="001E7998"/>
    <w:rsid w:val="001F0FAF"/>
    <w:rsid w:val="001F1519"/>
    <w:rsid w:val="001F393F"/>
    <w:rsid w:val="002024BE"/>
    <w:rsid w:val="00205C24"/>
    <w:rsid w:val="00216619"/>
    <w:rsid w:val="0022217A"/>
    <w:rsid w:val="00224E27"/>
    <w:rsid w:val="00225D78"/>
    <w:rsid w:val="00226B40"/>
    <w:rsid w:val="00232309"/>
    <w:rsid w:val="00232E1E"/>
    <w:rsid w:val="00233575"/>
    <w:rsid w:val="00233F39"/>
    <w:rsid w:val="002340FB"/>
    <w:rsid w:val="00241FB8"/>
    <w:rsid w:val="00242142"/>
    <w:rsid w:val="002436DB"/>
    <w:rsid w:val="00244046"/>
    <w:rsid w:val="00252B2A"/>
    <w:rsid w:val="00256F14"/>
    <w:rsid w:val="00256F2C"/>
    <w:rsid w:val="00262279"/>
    <w:rsid w:val="002647AD"/>
    <w:rsid w:val="0026655B"/>
    <w:rsid w:val="002666DC"/>
    <w:rsid w:val="00271C9F"/>
    <w:rsid w:val="002748B5"/>
    <w:rsid w:val="0028014D"/>
    <w:rsid w:val="00284413"/>
    <w:rsid w:val="00286015"/>
    <w:rsid w:val="0028639F"/>
    <w:rsid w:val="00286C94"/>
    <w:rsid w:val="00287561"/>
    <w:rsid w:val="00290256"/>
    <w:rsid w:val="00293B95"/>
    <w:rsid w:val="00296334"/>
    <w:rsid w:val="0029668A"/>
    <w:rsid w:val="002A07B8"/>
    <w:rsid w:val="002A2DC9"/>
    <w:rsid w:val="002A61F0"/>
    <w:rsid w:val="002A6CEC"/>
    <w:rsid w:val="002B21A8"/>
    <w:rsid w:val="002B267D"/>
    <w:rsid w:val="002B36DC"/>
    <w:rsid w:val="002B68E3"/>
    <w:rsid w:val="002C51BB"/>
    <w:rsid w:val="002C594E"/>
    <w:rsid w:val="002C5F88"/>
    <w:rsid w:val="002D19AE"/>
    <w:rsid w:val="002E034A"/>
    <w:rsid w:val="002E5808"/>
    <w:rsid w:val="002F260F"/>
    <w:rsid w:val="002F34E6"/>
    <w:rsid w:val="002F55CC"/>
    <w:rsid w:val="002F5E91"/>
    <w:rsid w:val="002F7043"/>
    <w:rsid w:val="002F79EA"/>
    <w:rsid w:val="0030083B"/>
    <w:rsid w:val="00300A91"/>
    <w:rsid w:val="00301E99"/>
    <w:rsid w:val="00305CAE"/>
    <w:rsid w:val="00311FF5"/>
    <w:rsid w:val="003132C4"/>
    <w:rsid w:val="00314D61"/>
    <w:rsid w:val="00317796"/>
    <w:rsid w:val="00317BEF"/>
    <w:rsid w:val="00321FDB"/>
    <w:rsid w:val="00322BCC"/>
    <w:rsid w:val="00323BBB"/>
    <w:rsid w:val="00324ACC"/>
    <w:rsid w:val="0033298D"/>
    <w:rsid w:val="00333567"/>
    <w:rsid w:val="003341EA"/>
    <w:rsid w:val="0033762C"/>
    <w:rsid w:val="003425C9"/>
    <w:rsid w:val="00343D33"/>
    <w:rsid w:val="003469EC"/>
    <w:rsid w:val="00356515"/>
    <w:rsid w:val="003626D4"/>
    <w:rsid w:val="003634D6"/>
    <w:rsid w:val="00366238"/>
    <w:rsid w:val="00366ACC"/>
    <w:rsid w:val="00372B2E"/>
    <w:rsid w:val="00372C08"/>
    <w:rsid w:val="003731BD"/>
    <w:rsid w:val="0037358E"/>
    <w:rsid w:val="00376A52"/>
    <w:rsid w:val="00377C12"/>
    <w:rsid w:val="003807E0"/>
    <w:rsid w:val="00381649"/>
    <w:rsid w:val="00381D94"/>
    <w:rsid w:val="00384B30"/>
    <w:rsid w:val="00392D58"/>
    <w:rsid w:val="00393936"/>
    <w:rsid w:val="00393C65"/>
    <w:rsid w:val="0039424B"/>
    <w:rsid w:val="003958DA"/>
    <w:rsid w:val="00396D80"/>
    <w:rsid w:val="00397BBC"/>
    <w:rsid w:val="003A1214"/>
    <w:rsid w:val="003A1C12"/>
    <w:rsid w:val="003A3692"/>
    <w:rsid w:val="003B0081"/>
    <w:rsid w:val="003B08AE"/>
    <w:rsid w:val="003B1452"/>
    <w:rsid w:val="003B2D33"/>
    <w:rsid w:val="003B4B0D"/>
    <w:rsid w:val="003C2C90"/>
    <w:rsid w:val="003C3685"/>
    <w:rsid w:val="003C4529"/>
    <w:rsid w:val="003D18CE"/>
    <w:rsid w:val="003D19B4"/>
    <w:rsid w:val="003D2062"/>
    <w:rsid w:val="003D2C21"/>
    <w:rsid w:val="003D7303"/>
    <w:rsid w:val="003E31FA"/>
    <w:rsid w:val="003E3276"/>
    <w:rsid w:val="003E4AFE"/>
    <w:rsid w:val="003E7323"/>
    <w:rsid w:val="003F0E56"/>
    <w:rsid w:val="003F2D76"/>
    <w:rsid w:val="003F2E72"/>
    <w:rsid w:val="00400918"/>
    <w:rsid w:val="004016B4"/>
    <w:rsid w:val="00406C10"/>
    <w:rsid w:val="004077C7"/>
    <w:rsid w:val="00407C83"/>
    <w:rsid w:val="00410123"/>
    <w:rsid w:val="004105AB"/>
    <w:rsid w:val="00410FCC"/>
    <w:rsid w:val="004128D3"/>
    <w:rsid w:val="00413144"/>
    <w:rsid w:val="004215C7"/>
    <w:rsid w:val="00421784"/>
    <w:rsid w:val="00432D23"/>
    <w:rsid w:val="00432DB6"/>
    <w:rsid w:val="00433872"/>
    <w:rsid w:val="00434AFB"/>
    <w:rsid w:val="00434BAB"/>
    <w:rsid w:val="00437970"/>
    <w:rsid w:val="0044161D"/>
    <w:rsid w:val="004416DD"/>
    <w:rsid w:val="004419E2"/>
    <w:rsid w:val="00442289"/>
    <w:rsid w:val="0044257B"/>
    <w:rsid w:val="00445273"/>
    <w:rsid w:val="00445583"/>
    <w:rsid w:val="00445923"/>
    <w:rsid w:val="00454A49"/>
    <w:rsid w:val="00456C1A"/>
    <w:rsid w:val="0045716A"/>
    <w:rsid w:val="00463984"/>
    <w:rsid w:val="00464218"/>
    <w:rsid w:val="004653EF"/>
    <w:rsid w:val="004723BE"/>
    <w:rsid w:val="00472908"/>
    <w:rsid w:val="00472A75"/>
    <w:rsid w:val="00480564"/>
    <w:rsid w:val="00481320"/>
    <w:rsid w:val="00481C5C"/>
    <w:rsid w:val="00481F88"/>
    <w:rsid w:val="004821E0"/>
    <w:rsid w:val="00484BFD"/>
    <w:rsid w:val="00485B5A"/>
    <w:rsid w:val="004901EE"/>
    <w:rsid w:val="00492EFF"/>
    <w:rsid w:val="00496221"/>
    <w:rsid w:val="004967E4"/>
    <w:rsid w:val="004A0F4A"/>
    <w:rsid w:val="004A44CE"/>
    <w:rsid w:val="004A6795"/>
    <w:rsid w:val="004A6EB1"/>
    <w:rsid w:val="004A7CED"/>
    <w:rsid w:val="004B0919"/>
    <w:rsid w:val="004B4442"/>
    <w:rsid w:val="004B5D33"/>
    <w:rsid w:val="004C2F51"/>
    <w:rsid w:val="004C70AC"/>
    <w:rsid w:val="004D09A7"/>
    <w:rsid w:val="004D0B25"/>
    <w:rsid w:val="004D20F0"/>
    <w:rsid w:val="004D31EF"/>
    <w:rsid w:val="004D3C12"/>
    <w:rsid w:val="004D4B18"/>
    <w:rsid w:val="004D56FC"/>
    <w:rsid w:val="004D5777"/>
    <w:rsid w:val="004E2F78"/>
    <w:rsid w:val="004E3DC8"/>
    <w:rsid w:val="004E46E3"/>
    <w:rsid w:val="004E5194"/>
    <w:rsid w:val="004E5D6D"/>
    <w:rsid w:val="004E7F0C"/>
    <w:rsid w:val="00505A6F"/>
    <w:rsid w:val="0050638D"/>
    <w:rsid w:val="005139C3"/>
    <w:rsid w:val="00514C95"/>
    <w:rsid w:val="00514E1D"/>
    <w:rsid w:val="005205AE"/>
    <w:rsid w:val="00521ABA"/>
    <w:rsid w:val="005225B1"/>
    <w:rsid w:val="00523FDE"/>
    <w:rsid w:val="0052468A"/>
    <w:rsid w:val="00536669"/>
    <w:rsid w:val="005373C3"/>
    <w:rsid w:val="005405CD"/>
    <w:rsid w:val="00540BF5"/>
    <w:rsid w:val="00543791"/>
    <w:rsid w:val="00543EA7"/>
    <w:rsid w:val="00544465"/>
    <w:rsid w:val="00546CF3"/>
    <w:rsid w:val="00556C9E"/>
    <w:rsid w:val="00572A93"/>
    <w:rsid w:val="005813E7"/>
    <w:rsid w:val="005830E2"/>
    <w:rsid w:val="00583AC2"/>
    <w:rsid w:val="00583DF4"/>
    <w:rsid w:val="00584C3F"/>
    <w:rsid w:val="00591EBC"/>
    <w:rsid w:val="00591FC3"/>
    <w:rsid w:val="0059259D"/>
    <w:rsid w:val="0059372F"/>
    <w:rsid w:val="00593932"/>
    <w:rsid w:val="00596679"/>
    <w:rsid w:val="00597097"/>
    <w:rsid w:val="00597518"/>
    <w:rsid w:val="005A230E"/>
    <w:rsid w:val="005A3E26"/>
    <w:rsid w:val="005A6F8D"/>
    <w:rsid w:val="005A75E9"/>
    <w:rsid w:val="005A78E2"/>
    <w:rsid w:val="005B20FD"/>
    <w:rsid w:val="005B39D5"/>
    <w:rsid w:val="005B3CD4"/>
    <w:rsid w:val="005B47AC"/>
    <w:rsid w:val="005B4F29"/>
    <w:rsid w:val="005B509E"/>
    <w:rsid w:val="005B5858"/>
    <w:rsid w:val="005B7A9E"/>
    <w:rsid w:val="005C616E"/>
    <w:rsid w:val="005D14D7"/>
    <w:rsid w:val="005D181E"/>
    <w:rsid w:val="005D25D5"/>
    <w:rsid w:val="005D4BFD"/>
    <w:rsid w:val="005D7AC0"/>
    <w:rsid w:val="005E60A9"/>
    <w:rsid w:val="005F4558"/>
    <w:rsid w:val="005F53B9"/>
    <w:rsid w:val="005F5B54"/>
    <w:rsid w:val="005F7D77"/>
    <w:rsid w:val="00600A2F"/>
    <w:rsid w:val="006028DC"/>
    <w:rsid w:val="0060537A"/>
    <w:rsid w:val="0060576A"/>
    <w:rsid w:val="0060667D"/>
    <w:rsid w:val="0060686F"/>
    <w:rsid w:val="00606DCA"/>
    <w:rsid w:val="00613063"/>
    <w:rsid w:val="0061528F"/>
    <w:rsid w:val="00616A85"/>
    <w:rsid w:val="00621DC7"/>
    <w:rsid w:val="0062239A"/>
    <w:rsid w:val="00630139"/>
    <w:rsid w:val="00633824"/>
    <w:rsid w:val="00634DBB"/>
    <w:rsid w:val="00641C30"/>
    <w:rsid w:val="00643D06"/>
    <w:rsid w:val="0064685E"/>
    <w:rsid w:val="006508ED"/>
    <w:rsid w:val="00653A27"/>
    <w:rsid w:val="0066341E"/>
    <w:rsid w:val="0066357F"/>
    <w:rsid w:val="00665219"/>
    <w:rsid w:val="006745F8"/>
    <w:rsid w:val="00675E38"/>
    <w:rsid w:val="00676DA5"/>
    <w:rsid w:val="00681C0C"/>
    <w:rsid w:val="00682D75"/>
    <w:rsid w:val="0068540D"/>
    <w:rsid w:val="0068660B"/>
    <w:rsid w:val="00687609"/>
    <w:rsid w:val="00691755"/>
    <w:rsid w:val="006936B8"/>
    <w:rsid w:val="00694641"/>
    <w:rsid w:val="0069506A"/>
    <w:rsid w:val="006A40A8"/>
    <w:rsid w:val="006A4ED9"/>
    <w:rsid w:val="006A7592"/>
    <w:rsid w:val="006B10A6"/>
    <w:rsid w:val="006B2F2E"/>
    <w:rsid w:val="006C0F92"/>
    <w:rsid w:val="006C38CB"/>
    <w:rsid w:val="006C3D79"/>
    <w:rsid w:val="006C4488"/>
    <w:rsid w:val="006C4551"/>
    <w:rsid w:val="006D16C4"/>
    <w:rsid w:val="006D2BCD"/>
    <w:rsid w:val="006D41DB"/>
    <w:rsid w:val="006D4C03"/>
    <w:rsid w:val="006D55FC"/>
    <w:rsid w:val="006D62F7"/>
    <w:rsid w:val="006D7E3D"/>
    <w:rsid w:val="006E10DF"/>
    <w:rsid w:val="006E1E21"/>
    <w:rsid w:val="006E3FC4"/>
    <w:rsid w:val="006E51A2"/>
    <w:rsid w:val="006E6B63"/>
    <w:rsid w:val="006F08EB"/>
    <w:rsid w:val="006F2633"/>
    <w:rsid w:val="006F2857"/>
    <w:rsid w:val="00700462"/>
    <w:rsid w:val="007043FC"/>
    <w:rsid w:val="00711485"/>
    <w:rsid w:val="007114AA"/>
    <w:rsid w:val="007147A6"/>
    <w:rsid w:val="00714982"/>
    <w:rsid w:val="007151FE"/>
    <w:rsid w:val="00715749"/>
    <w:rsid w:val="007178E4"/>
    <w:rsid w:val="00721C79"/>
    <w:rsid w:val="007224F3"/>
    <w:rsid w:val="00725A55"/>
    <w:rsid w:val="007306BF"/>
    <w:rsid w:val="00730F2A"/>
    <w:rsid w:val="007373C0"/>
    <w:rsid w:val="0073772A"/>
    <w:rsid w:val="007400CB"/>
    <w:rsid w:val="00740646"/>
    <w:rsid w:val="00743C1B"/>
    <w:rsid w:val="00751947"/>
    <w:rsid w:val="00752A8B"/>
    <w:rsid w:val="00752A9F"/>
    <w:rsid w:val="007564F1"/>
    <w:rsid w:val="00761774"/>
    <w:rsid w:val="00765EA0"/>
    <w:rsid w:val="0076657A"/>
    <w:rsid w:val="007703EE"/>
    <w:rsid w:val="007711DB"/>
    <w:rsid w:val="0077257B"/>
    <w:rsid w:val="00772AC3"/>
    <w:rsid w:val="00774416"/>
    <w:rsid w:val="00776D2C"/>
    <w:rsid w:val="007816DA"/>
    <w:rsid w:val="00781859"/>
    <w:rsid w:val="00783151"/>
    <w:rsid w:val="00787FAF"/>
    <w:rsid w:val="007913EB"/>
    <w:rsid w:val="00791CCB"/>
    <w:rsid w:val="00792F36"/>
    <w:rsid w:val="007937EA"/>
    <w:rsid w:val="007968F0"/>
    <w:rsid w:val="00797E30"/>
    <w:rsid w:val="007A0B20"/>
    <w:rsid w:val="007A21D9"/>
    <w:rsid w:val="007A2747"/>
    <w:rsid w:val="007A326D"/>
    <w:rsid w:val="007B0753"/>
    <w:rsid w:val="007B2B16"/>
    <w:rsid w:val="007B57C2"/>
    <w:rsid w:val="007B7236"/>
    <w:rsid w:val="007C1E69"/>
    <w:rsid w:val="007C2E71"/>
    <w:rsid w:val="007C341B"/>
    <w:rsid w:val="007C3ADE"/>
    <w:rsid w:val="007C5BE5"/>
    <w:rsid w:val="007C6A4B"/>
    <w:rsid w:val="007D3363"/>
    <w:rsid w:val="007D3664"/>
    <w:rsid w:val="007D5EA1"/>
    <w:rsid w:val="007D5F8B"/>
    <w:rsid w:val="007D6FA9"/>
    <w:rsid w:val="007D7952"/>
    <w:rsid w:val="007E0999"/>
    <w:rsid w:val="007E0DB5"/>
    <w:rsid w:val="007E14A4"/>
    <w:rsid w:val="007E794C"/>
    <w:rsid w:val="007F00EC"/>
    <w:rsid w:val="007F0C81"/>
    <w:rsid w:val="007F1DEC"/>
    <w:rsid w:val="007F270C"/>
    <w:rsid w:val="007F305B"/>
    <w:rsid w:val="007F45E4"/>
    <w:rsid w:val="00800505"/>
    <w:rsid w:val="008042B6"/>
    <w:rsid w:val="008059F5"/>
    <w:rsid w:val="008120F6"/>
    <w:rsid w:val="008164E6"/>
    <w:rsid w:val="008212AA"/>
    <w:rsid w:val="00821B21"/>
    <w:rsid w:val="00821FBD"/>
    <w:rsid w:val="00822949"/>
    <w:rsid w:val="00827E23"/>
    <w:rsid w:val="0083084E"/>
    <w:rsid w:val="0083113B"/>
    <w:rsid w:val="00832368"/>
    <w:rsid w:val="00835299"/>
    <w:rsid w:val="008366CE"/>
    <w:rsid w:val="0083697E"/>
    <w:rsid w:val="00836D44"/>
    <w:rsid w:val="00836EC4"/>
    <w:rsid w:val="00837466"/>
    <w:rsid w:val="008413E7"/>
    <w:rsid w:val="00841D89"/>
    <w:rsid w:val="008424E8"/>
    <w:rsid w:val="008471DC"/>
    <w:rsid w:val="00847ED3"/>
    <w:rsid w:val="00850995"/>
    <w:rsid w:val="00852EF1"/>
    <w:rsid w:val="00853764"/>
    <w:rsid w:val="0085532C"/>
    <w:rsid w:val="0086047D"/>
    <w:rsid w:val="00863198"/>
    <w:rsid w:val="00870887"/>
    <w:rsid w:val="0087211A"/>
    <w:rsid w:val="00873B7C"/>
    <w:rsid w:val="00875717"/>
    <w:rsid w:val="00880643"/>
    <w:rsid w:val="00885559"/>
    <w:rsid w:val="00885C10"/>
    <w:rsid w:val="008868FA"/>
    <w:rsid w:val="00886BDB"/>
    <w:rsid w:val="008875A2"/>
    <w:rsid w:val="00892CE4"/>
    <w:rsid w:val="00893702"/>
    <w:rsid w:val="0089437E"/>
    <w:rsid w:val="00894621"/>
    <w:rsid w:val="00897CDF"/>
    <w:rsid w:val="008A031A"/>
    <w:rsid w:val="008A2AA3"/>
    <w:rsid w:val="008A4FB6"/>
    <w:rsid w:val="008B04CB"/>
    <w:rsid w:val="008B7E55"/>
    <w:rsid w:val="008C02CB"/>
    <w:rsid w:val="008C02DC"/>
    <w:rsid w:val="008C274B"/>
    <w:rsid w:val="008C3C5D"/>
    <w:rsid w:val="008C6855"/>
    <w:rsid w:val="008C7D4C"/>
    <w:rsid w:val="008D053B"/>
    <w:rsid w:val="008D10B7"/>
    <w:rsid w:val="008D242C"/>
    <w:rsid w:val="008D3831"/>
    <w:rsid w:val="008D3BF3"/>
    <w:rsid w:val="008D6621"/>
    <w:rsid w:val="008D7330"/>
    <w:rsid w:val="008D7901"/>
    <w:rsid w:val="008E163F"/>
    <w:rsid w:val="008E3E38"/>
    <w:rsid w:val="008F21A3"/>
    <w:rsid w:val="008F4160"/>
    <w:rsid w:val="008F54E9"/>
    <w:rsid w:val="008F6A71"/>
    <w:rsid w:val="008F7B21"/>
    <w:rsid w:val="00900D1A"/>
    <w:rsid w:val="0090246D"/>
    <w:rsid w:val="0090313E"/>
    <w:rsid w:val="00903482"/>
    <w:rsid w:val="00904361"/>
    <w:rsid w:val="0090454A"/>
    <w:rsid w:val="009113ED"/>
    <w:rsid w:val="00917FBC"/>
    <w:rsid w:val="00920E25"/>
    <w:rsid w:val="00921AFE"/>
    <w:rsid w:val="0092332D"/>
    <w:rsid w:val="00923A2B"/>
    <w:rsid w:val="00927608"/>
    <w:rsid w:val="00930324"/>
    <w:rsid w:val="009319FA"/>
    <w:rsid w:val="00932A0B"/>
    <w:rsid w:val="00936E25"/>
    <w:rsid w:val="0094518F"/>
    <w:rsid w:val="009455BA"/>
    <w:rsid w:val="009457EB"/>
    <w:rsid w:val="009460C1"/>
    <w:rsid w:val="009463A2"/>
    <w:rsid w:val="00946745"/>
    <w:rsid w:val="00947E0B"/>
    <w:rsid w:val="0095070A"/>
    <w:rsid w:val="00950F8A"/>
    <w:rsid w:val="009510AC"/>
    <w:rsid w:val="00952E88"/>
    <w:rsid w:val="00953F6D"/>
    <w:rsid w:val="00954D52"/>
    <w:rsid w:val="00957EAC"/>
    <w:rsid w:val="0096035A"/>
    <w:rsid w:val="009620DD"/>
    <w:rsid w:val="00962357"/>
    <w:rsid w:val="00965E2C"/>
    <w:rsid w:val="009668DE"/>
    <w:rsid w:val="00967446"/>
    <w:rsid w:val="0096790C"/>
    <w:rsid w:val="00970609"/>
    <w:rsid w:val="00970A3A"/>
    <w:rsid w:val="00971B32"/>
    <w:rsid w:val="00972F29"/>
    <w:rsid w:val="0097408C"/>
    <w:rsid w:val="009740A2"/>
    <w:rsid w:val="00977D0D"/>
    <w:rsid w:val="00982D62"/>
    <w:rsid w:val="00985F2E"/>
    <w:rsid w:val="009869B0"/>
    <w:rsid w:val="00992360"/>
    <w:rsid w:val="00996842"/>
    <w:rsid w:val="009968B5"/>
    <w:rsid w:val="009A1C32"/>
    <w:rsid w:val="009A48DB"/>
    <w:rsid w:val="009A5068"/>
    <w:rsid w:val="009A6718"/>
    <w:rsid w:val="009A6B75"/>
    <w:rsid w:val="009A7E90"/>
    <w:rsid w:val="009B0907"/>
    <w:rsid w:val="009B172B"/>
    <w:rsid w:val="009B2C87"/>
    <w:rsid w:val="009C24FF"/>
    <w:rsid w:val="009C584A"/>
    <w:rsid w:val="009C647C"/>
    <w:rsid w:val="009C6C75"/>
    <w:rsid w:val="009C7063"/>
    <w:rsid w:val="009D0C3C"/>
    <w:rsid w:val="009D0E44"/>
    <w:rsid w:val="009D0E7D"/>
    <w:rsid w:val="009D43F6"/>
    <w:rsid w:val="009D5334"/>
    <w:rsid w:val="009D6AA5"/>
    <w:rsid w:val="009D77E5"/>
    <w:rsid w:val="009D7D38"/>
    <w:rsid w:val="009E1CA3"/>
    <w:rsid w:val="009E43A3"/>
    <w:rsid w:val="009E46B0"/>
    <w:rsid w:val="009E4E64"/>
    <w:rsid w:val="009E50F8"/>
    <w:rsid w:val="009E7C78"/>
    <w:rsid w:val="009F04E5"/>
    <w:rsid w:val="009F0E98"/>
    <w:rsid w:val="009F4C31"/>
    <w:rsid w:val="009F6AB5"/>
    <w:rsid w:val="00A004F3"/>
    <w:rsid w:val="00A010C3"/>
    <w:rsid w:val="00A03C2E"/>
    <w:rsid w:val="00A07521"/>
    <w:rsid w:val="00A1145F"/>
    <w:rsid w:val="00A125B5"/>
    <w:rsid w:val="00A138A3"/>
    <w:rsid w:val="00A13C5C"/>
    <w:rsid w:val="00A145A4"/>
    <w:rsid w:val="00A154E7"/>
    <w:rsid w:val="00A1675D"/>
    <w:rsid w:val="00A17F6C"/>
    <w:rsid w:val="00A20B43"/>
    <w:rsid w:val="00A223C1"/>
    <w:rsid w:val="00A22732"/>
    <w:rsid w:val="00A22A22"/>
    <w:rsid w:val="00A238E9"/>
    <w:rsid w:val="00A2605D"/>
    <w:rsid w:val="00A27BF5"/>
    <w:rsid w:val="00A301FD"/>
    <w:rsid w:val="00A31242"/>
    <w:rsid w:val="00A31CE1"/>
    <w:rsid w:val="00A31FE5"/>
    <w:rsid w:val="00A34211"/>
    <w:rsid w:val="00A40877"/>
    <w:rsid w:val="00A4257D"/>
    <w:rsid w:val="00A471B2"/>
    <w:rsid w:val="00A54C79"/>
    <w:rsid w:val="00A54C9E"/>
    <w:rsid w:val="00A5765C"/>
    <w:rsid w:val="00A607D9"/>
    <w:rsid w:val="00A60D85"/>
    <w:rsid w:val="00A63532"/>
    <w:rsid w:val="00A64EFD"/>
    <w:rsid w:val="00A66948"/>
    <w:rsid w:val="00A73B67"/>
    <w:rsid w:val="00A74E85"/>
    <w:rsid w:val="00A8000D"/>
    <w:rsid w:val="00A8417E"/>
    <w:rsid w:val="00A847B1"/>
    <w:rsid w:val="00A8593D"/>
    <w:rsid w:val="00A86DEB"/>
    <w:rsid w:val="00A87D3A"/>
    <w:rsid w:val="00A909E0"/>
    <w:rsid w:val="00A91072"/>
    <w:rsid w:val="00A950FF"/>
    <w:rsid w:val="00A954C5"/>
    <w:rsid w:val="00AA145E"/>
    <w:rsid w:val="00AA19A2"/>
    <w:rsid w:val="00AA2AF3"/>
    <w:rsid w:val="00AA43AD"/>
    <w:rsid w:val="00AA54B2"/>
    <w:rsid w:val="00AA5B54"/>
    <w:rsid w:val="00AA6D54"/>
    <w:rsid w:val="00AA7528"/>
    <w:rsid w:val="00AB0C83"/>
    <w:rsid w:val="00AB0F2F"/>
    <w:rsid w:val="00AB11BA"/>
    <w:rsid w:val="00AB2F8D"/>
    <w:rsid w:val="00AB4043"/>
    <w:rsid w:val="00AB404B"/>
    <w:rsid w:val="00AB588C"/>
    <w:rsid w:val="00AB5F29"/>
    <w:rsid w:val="00AC321C"/>
    <w:rsid w:val="00AC4857"/>
    <w:rsid w:val="00AC743C"/>
    <w:rsid w:val="00AC7A00"/>
    <w:rsid w:val="00AD0C5F"/>
    <w:rsid w:val="00AD70BD"/>
    <w:rsid w:val="00AE06B8"/>
    <w:rsid w:val="00AE19AC"/>
    <w:rsid w:val="00AE42DB"/>
    <w:rsid w:val="00AE5144"/>
    <w:rsid w:val="00AE6585"/>
    <w:rsid w:val="00AE65ED"/>
    <w:rsid w:val="00AE73D6"/>
    <w:rsid w:val="00AF0274"/>
    <w:rsid w:val="00AF10B9"/>
    <w:rsid w:val="00AF1377"/>
    <w:rsid w:val="00AF2D21"/>
    <w:rsid w:val="00AF7E38"/>
    <w:rsid w:val="00B00FB5"/>
    <w:rsid w:val="00B104AC"/>
    <w:rsid w:val="00B11F48"/>
    <w:rsid w:val="00B1567E"/>
    <w:rsid w:val="00B22078"/>
    <w:rsid w:val="00B227E0"/>
    <w:rsid w:val="00B231D6"/>
    <w:rsid w:val="00B265FC"/>
    <w:rsid w:val="00B268E2"/>
    <w:rsid w:val="00B26D7F"/>
    <w:rsid w:val="00B308FA"/>
    <w:rsid w:val="00B30AE3"/>
    <w:rsid w:val="00B31741"/>
    <w:rsid w:val="00B372B6"/>
    <w:rsid w:val="00B416AD"/>
    <w:rsid w:val="00B41966"/>
    <w:rsid w:val="00B41FBF"/>
    <w:rsid w:val="00B42327"/>
    <w:rsid w:val="00B44138"/>
    <w:rsid w:val="00B449AF"/>
    <w:rsid w:val="00B4656E"/>
    <w:rsid w:val="00B501E5"/>
    <w:rsid w:val="00B52037"/>
    <w:rsid w:val="00B522E5"/>
    <w:rsid w:val="00B57804"/>
    <w:rsid w:val="00B62BCD"/>
    <w:rsid w:val="00B6353C"/>
    <w:rsid w:val="00B64A11"/>
    <w:rsid w:val="00B64D35"/>
    <w:rsid w:val="00B7530A"/>
    <w:rsid w:val="00B777BC"/>
    <w:rsid w:val="00B77A0F"/>
    <w:rsid w:val="00B81E07"/>
    <w:rsid w:val="00B8614E"/>
    <w:rsid w:val="00B8681B"/>
    <w:rsid w:val="00B87E8F"/>
    <w:rsid w:val="00B902CB"/>
    <w:rsid w:val="00B90D70"/>
    <w:rsid w:val="00B92118"/>
    <w:rsid w:val="00B96A13"/>
    <w:rsid w:val="00B9770E"/>
    <w:rsid w:val="00BA02AF"/>
    <w:rsid w:val="00BA217C"/>
    <w:rsid w:val="00BA479F"/>
    <w:rsid w:val="00BB0619"/>
    <w:rsid w:val="00BB3189"/>
    <w:rsid w:val="00BB4E51"/>
    <w:rsid w:val="00BC2FDC"/>
    <w:rsid w:val="00BC527D"/>
    <w:rsid w:val="00BC53B8"/>
    <w:rsid w:val="00BC5F10"/>
    <w:rsid w:val="00BC5FB5"/>
    <w:rsid w:val="00BC7AD9"/>
    <w:rsid w:val="00BD0262"/>
    <w:rsid w:val="00BD23F3"/>
    <w:rsid w:val="00BD427B"/>
    <w:rsid w:val="00BD474A"/>
    <w:rsid w:val="00BE061D"/>
    <w:rsid w:val="00BE1898"/>
    <w:rsid w:val="00BE2817"/>
    <w:rsid w:val="00BE5372"/>
    <w:rsid w:val="00BE5807"/>
    <w:rsid w:val="00BE593B"/>
    <w:rsid w:val="00BF25E3"/>
    <w:rsid w:val="00BF462B"/>
    <w:rsid w:val="00C0205E"/>
    <w:rsid w:val="00C028C7"/>
    <w:rsid w:val="00C04512"/>
    <w:rsid w:val="00C04BD9"/>
    <w:rsid w:val="00C051F8"/>
    <w:rsid w:val="00C05A0F"/>
    <w:rsid w:val="00C06FF2"/>
    <w:rsid w:val="00C109A3"/>
    <w:rsid w:val="00C13660"/>
    <w:rsid w:val="00C14672"/>
    <w:rsid w:val="00C14EA9"/>
    <w:rsid w:val="00C17D64"/>
    <w:rsid w:val="00C25200"/>
    <w:rsid w:val="00C25C92"/>
    <w:rsid w:val="00C25F31"/>
    <w:rsid w:val="00C2748E"/>
    <w:rsid w:val="00C33ACB"/>
    <w:rsid w:val="00C34369"/>
    <w:rsid w:val="00C37670"/>
    <w:rsid w:val="00C40146"/>
    <w:rsid w:val="00C472F9"/>
    <w:rsid w:val="00C5006B"/>
    <w:rsid w:val="00C563E1"/>
    <w:rsid w:val="00C56A94"/>
    <w:rsid w:val="00C60701"/>
    <w:rsid w:val="00C625CF"/>
    <w:rsid w:val="00C66325"/>
    <w:rsid w:val="00C73196"/>
    <w:rsid w:val="00C73EC7"/>
    <w:rsid w:val="00C75726"/>
    <w:rsid w:val="00C75BD4"/>
    <w:rsid w:val="00C75C0C"/>
    <w:rsid w:val="00C76C69"/>
    <w:rsid w:val="00C80EAA"/>
    <w:rsid w:val="00C8113F"/>
    <w:rsid w:val="00C821BA"/>
    <w:rsid w:val="00C8224D"/>
    <w:rsid w:val="00C84E45"/>
    <w:rsid w:val="00C86592"/>
    <w:rsid w:val="00C86757"/>
    <w:rsid w:val="00C90693"/>
    <w:rsid w:val="00C90B70"/>
    <w:rsid w:val="00C975B0"/>
    <w:rsid w:val="00CA2C17"/>
    <w:rsid w:val="00CA33A9"/>
    <w:rsid w:val="00CA42FF"/>
    <w:rsid w:val="00CA56EA"/>
    <w:rsid w:val="00CA5862"/>
    <w:rsid w:val="00CA6659"/>
    <w:rsid w:val="00CB33B3"/>
    <w:rsid w:val="00CB47BE"/>
    <w:rsid w:val="00CB4CA8"/>
    <w:rsid w:val="00CB7B6B"/>
    <w:rsid w:val="00CC2460"/>
    <w:rsid w:val="00CC3906"/>
    <w:rsid w:val="00CD0197"/>
    <w:rsid w:val="00CD2500"/>
    <w:rsid w:val="00CD5CB9"/>
    <w:rsid w:val="00CE1414"/>
    <w:rsid w:val="00CE475B"/>
    <w:rsid w:val="00CF19CA"/>
    <w:rsid w:val="00CF5BE8"/>
    <w:rsid w:val="00CF61C0"/>
    <w:rsid w:val="00CF65AD"/>
    <w:rsid w:val="00CF6CAE"/>
    <w:rsid w:val="00CF7DCC"/>
    <w:rsid w:val="00D03DA7"/>
    <w:rsid w:val="00D07573"/>
    <w:rsid w:val="00D1014B"/>
    <w:rsid w:val="00D132AA"/>
    <w:rsid w:val="00D13301"/>
    <w:rsid w:val="00D133DD"/>
    <w:rsid w:val="00D154D5"/>
    <w:rsid w:val="00D21568"/>
    <w:rsid w:val="00D23888"/>
    <w:rsid w:val="00D26691"/>
    <w:rsid w:val="00D276CE"/>
    <w:rsid w:val="00D27867"/>
    <w:rsid w:val="00D30C07"/>
    <w:rsid w:val="00D312B1"/>
    <w:rsid w:val="00D3782B"/>
    <w:rsid w:val="00D401E9"/>
    <w:rsid w:val="00D40891"/>
    <w:rsid w:val="00D41C04"/>
    <w:rsid w:val="00D43FBB"/>
    <w:rsid w:val="00D4594A"/>
    <w:rsid w:val="00D459E9"/>
    <w:rsid w:val="00D526D6"/>
    <w:rsid w:val="00D528AE"/>
    <w:rsid w:val="00D57C21"/>
    <w:rsid w:val="00D606D9"/>
    <w:rsid w:val="00D620CD"/>
    <w:rsid w:val="00D62869"/>
    <w:rsid w:val="00D629E5"/>
    <w:rsid w:val="00D701F8"/>
    <w:rsid w:val="00D70605"/>
    <w:rsid w:val="00D7258C"/>
    <w:rsid w:val="00D74924"/>
    <w:rsid w:val="00D765D6"/>
    <w:rsid w:val="00D80555"/>
    <w:rsid w:val="00D84EA7"/>
    <w:rsid w:val="00D85EC1"/>
    <w:rsid w:val="00D929B4"/>
    <w:rsid w:val="00D93AFB"/>
    <w:rsid w:val="00D94778"/>
    <w:rsid w:val="00D950DB"/>
    <w:rsid w:val="00D96033"/>
    <w:rsid w:val="00DA1AD0"/>
    <w:rsid w:val="00DA37FC"/>
    <w:rsid w:val="00DA4FBB"/>
    <w:rsid w:val="00DB4223"/>
    <w:rsid w:val="00DB59EC"/>
    <w:rsid w:val="00DB5F65"/>
    <w:rsid w:val="00DB6913"/>
    <w:rsid w:val="00DC2236"/>
    <w:rsid w:val="00DC239C"/>
    <w:rsid w:val="00DC305B"/>
    <w:rsid w:val="00DD1DB4"/>
    <w:rsid w:val="00DD1F33"/>
    <w:rsid w:val="00DD3469"/>
    <w:rsid w:val="00DE204B"/>
    <w:rsid w:val="00DE2ED2"/>
    <w:rsid w:val="00DE4AEB"/>
    <w:rsid w:val="00DE4AF2"/>
    <w:rsid w:val="00DE72E1"/>
    <w:rsid w:val="00DE7BBE"/>
    <w:rsid w:val="00DE7DF1"/>
    <w:rsid w:val="00DF0034"/>
    <w:rsid w:val="00DF1C14"/>
    <w:rsid w:val="00DF1C1E"/>
    <w:rsid w:val="00DF308D"/>
    <w:rsid w:val="00E013BB"/>
    <w:rsid w:val="00E03D3A"/>
    <w:rsid w:val="00E062E6"/>
    <w:rsid w:val="00E104CA"/>
    <w:rsid w:val="00E13E64"/>
    <w:rsid w:val="00E14BF9"/>
    <w:rsid w:val="00E15B23"/>
    <w:rsid w:val="00E218A4"/>
    <w:rsid w:val="00E24232"/>
    <w:rsid w:val="00E24467"/>
    <w:rsid w:val="00E24A09"/>
    <w:rsid w:val="00E27C5D"/>
    <w:rsid w:val="00E300BF"/>
    <w:rsid w:val="00E30683"/>
    <w:rsid w:val="00E32E7A"/>
    <w:rsid w:val="00E33D19"/>
    <w:rsid w:val="00E361A0"/>
    <w:rsid w:val="00E3659B"/>
    <w:rsid w:val="00E37123"/>
    <w:rsid w:val="00E41447"/>
    <w:rsid w:val="00E4214A"/>
    <w:rsid w:val="00E43931"/>
    <w:rsid w:val="00E44016"/>
    <w:rsid w:val="00E46127"/>
    <w:rsid w:val="00E47ACD"/>
    <w:rsid w:val="00E47DF8"/>
    <w:rsid w:val="00E54B02"/>
    <w:rsid w:val="00E56F01"/>
    <w:rsid w:val="00E63080"/>
    <w:rsid w:val="00E6401D"/>
    <w:rsid w:val="00E6570E"/>
    <w:rsid w:val="00E65C2C"/>
    <w:rsid w:val="00E754C1"/>
    <w:rsid w:val="00E81385"/>
    <w:rsid w:val="00E86AB4"/>
    <w:rsid w:val="00E9041E"/>
    <w:rsid w:val="00E91CC0"/>
    <w:rsid w:val="00E96B06"/>
    <w:rsid w:val="00E9726D"/>
    <w:rsid w:val="00EB3BD8"/>
    <w:rsid w:val="00EB6B6A"/>
    <w:rsid w:val="00EB7157"/>
    <w:rsid w:val="00EB7DC8"/>
    <w:rsid w:val="00EC0171"/>
    <w:rsid w:val="00EC11C8"/>
    <w:rsid w:val="00EC204C"/>
    <w:rsid w:val="00EC2588"/>
    <w:rsid w:val="00EC415A"/>
    <w:rsid w:val="00EC529E"/>
    <w:rsid w:val="00EC570F"/>
    <w:rsid w:val="00EC7CC4"/>
    <w:rsid w:val="00ED0AC5"/>
    <w:rsid w:val="00ED2849"/>
    <w:rsid w:val="00ED286F"/>
    <w:rsid w:val="00ED3259"/>
    <w:rsid w:val="00ED4F00"/>
    <w:rsid w:val="00ED5972"/>
    <w:rsid w:val="00ED5AB4"/>
    <w:rsid w:val="00ED5D1C"/>
    <w:rsid w:val="00EE108A"/>
    <w:rsid w:val="00EE1BAD"/>
    <w:rsid w:val="00EE4D41"/>
    <w:rsid w:val="00EE5365"/>
    <w:rsid w:val="00EE6F01"/>
    <w:rsid w:val="00EE7C20"/>
    <w:rsid w:val="00EF1BBA"/>
    <w:rsid w:val="00EF267E"/>
    <w:rsid w:val="00EF3951"/>
    <w:rsid w:val="00EF40C5"/>
    <w:rsid w:val="00EF654B"/>
    <w:rsid w:val="00F03C9C"/>
    <w:rsid w:val="00F1143D"/>
    <w:rsid w:val="00F1388F"/>
    <w:rsid w:val="00F14588"/>
    <w:rsid w:val="00F22614"/>
    <w:rsid w:val="00F22935"/>
    <w:rsid w:val="00F23A20"/>
    <w:rsid w:val="00F242F6"/>
    <w:rsid w:val="00F248C5"/>
    <w:rsid w:val="00F261D3"/>
    <w:rsid w:val="00F309DA"/>
    <w:rsid w:val="00F315E9"/>
    <w:rsid w:val="00F316BE"/>
    <w:rsid w:val="00F325D4"/>
    <w:rsid w:val="00F33A3E"/>
    <w:rsid w:val="00F36048"/>
    <w:rsid w:val="00F36A03"/>
    <w:rsid w:val="00F37000"/>
    <w:rsid w:val="00F402E2"/>
    <w:rsid w:val="00F41018"/>
    <w:rsid w:val="00F41711"/>
    <w:rsid w:val="00F4429C"/>
    <w:rsid w:val="00F449AB"/>
    <w:rsid w:val="00F46C15"/>
    <w:rsid w:val="00F50E57"/>
    <w:rsid w:val="00F53FE7"/>
    <w:rsid w:val="00F549A8"/>
    <w:rsid w:val="00F56D43"/>
    <w:rsid w:val="00F60C99"/>
    <w:rsid w:val="00F617FE"/>
    <w:rsid w:val="00F67670"/>
    <w:rsid w:val="00F67CA0"/>
    <w:rsid w:val="00F722E7"/>
    <w:rsid w:val="00F73148"/>
    <w:rsid w:val="00F75DD0"/>
    <w:rsid w:val="00F75F61"/>
    <w:rsid w:val="00F800B2"/>
    <w:rsid w:val="00F802E8"/>
    <w:rsid w:val="00F806AD"/>
    <w:rsid w:val="00F81258"/>
    <w:rsid w:val="00F848A0"/>
    <w:rsid w:val="00F849D9"/>
    <w:rsid w:val="00F84E2E"/>
    <w:rsid w:val="00F901B2"/>
    <w:rsid w:val="00F90AD6"/>
    <w:rsid w:val="00F93E46"/>
    <w:rsid w:val="00F95094"/>
    <w:rsid w:val="00F97AF2"/>
    <w:rsid w:val="00FA02F8"/>
    <w:rsid w:val="00FA322C"/>
    <w:rsid w:val="00FA4547"/>
    <w:rsid w:val="00FA5A73"/>
    <w:rsid w:val="00FA75DE"/>
    <w:rsid w:val="00FB0104"/>
    <w:rsid w:val="00FB0BF0"/>
    <w:rsid w:val="00FB1173"/>
    <w:rsid w:val="00FB15C3"/>
    <w:rsid w:val="00FB3C30"/>
    <w:rsid w:val="00FB5EB1"/>
    <w:rsid w:val="00FC1AFA"/>
    <w:rsid w:val="00FC1EB6"/>
    <w:rsid w:val="00FC3A28"/>
    <w:rsid w:val="00FC5B59"/>
    <w:rsid w:val="00FC6847"/>
    <w:rsid w:val="00FD0BB0"/>
    <w:rsid w:val="00FD16E5"/>
    <w:rsid w:val="00FD2376"/>
    <w:rsid w:val="00FD3A68"/>
    <w:rsid w:val="00FD4276"/>
    <w:rsid w:val="00FD5B77"/>
    <w:rsid w:val="00FE2906"/>
    <w:rsid w:val="00FE40A8"/>
    <w:rsid w:val="00FE4D2F"/>
    <w:rsid w:val="00FE7FED"/>
    <w:rsid w:val="00FF1235"/>
    <w:rsid w:val="00FF252F"/>
    <w:rsid w:val="00FF53DA"/>
    <w:rsid w:val="00FF57D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622343D"/>
  <w15:docId w15:val="{BB4DD97F-4830-4A09-8835-DBFDE4F7C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qFormat/>
    <w:rsid w:val="00D41C04"/>
    <w:rPr>
      <w:b/>
      <w:bCs/>
    </w:rPr>
  </w:style>
  <w:style w:type="paragraph" w:styleId="PargrafodaLista">
    <w:name w:val="List Paragraph"/>
    <w:basedOn w:val="Normal"/>
    <w:uiPriority w:val="34"/>
    <w:qFormat/>
    <w:rsid w:val="00B220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1A2C99-3ACC-4649-B865-6BD065324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2591</Words>
  <Characters>13993</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Adriane Rodrigues de Souza</cp:lastModifiedBy>
  <cp:revision>2</cp:revision>
  <cp:lastPrinted>2021-05-28T15:25:00Z</cp:lastPrinted>
  <dcterms:created xsi:type="dcterms:W3CDTF">2021-05-28T15:29:00Z</dcterms:created>
  <dcterms:modified xsi:type="dcterms:W3CDTF">2021-05-28T15:29:00Z</dcterms:modified>
</cp:coreProperties>
</file>