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SANDRO MAURO LIMA DE ARAÚJO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00216/2019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inserção do ensino de Educação Ambiental no currículo das instituições oficiais de ensino do Município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O ensino de Educação Ambiental constituirá componente curricular obrigatório das instituições oficiais de ensino que integram o sistema municipal, observados os prazos estabelecidos na presente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 – A inclusão a que se refere o caput far-se-á na parte diversificada do currículo, em complemento à base nacional comum.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Incube à Secretaria Municipal de Educação a elaboração do conteúdo e do programa a ser ministrado no ensino de Educação Ambiental.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O conteúdo a que se refere o caput deverá ser ministrado no espaço temporal mínimo de dois anos, com carga horária não inferior a uma hora semanal.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Serão respeitados os seguintes princípios de gestão democrática quando da elaboração do conteúdo e programa referidos no caput: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Participação dos profissionais de educação na definição do projeto pedagógico;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Participação da comunidade escolar, no que couber.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Fica a critério da Secretaria Municipal de Educação, em quais as séries será implantado o ensino de Educação Ambiental.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Revogadas as disposições em contrário, a presente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a importância da temática ambiental e a visão integrada do mundo, no tempo e no espaço, a escola deverá oferecer meios efetivos para que cada aluno compreenda os fenômenos naturais, as ações humanas e sua consequência para consigo, para com sua própria espécie, para os outros seres vivos e o ambiente, possibilitando a construção do conhecimento e estimulando a formação de uma mentalidade sócio-ambiental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sentido, a participação da sociedade é prioritária e fundamental para que ocorra êxito na resolução dos grandes e graves problemas socioambientais do país. A participação social baseia-se no entendimento de que a sensibilização e a mobilização dos mais variados segmentos sociais só é possível mediante a sensibilização, a organização e o empoderamento dos envolvidos e o consequente fortalecimento da cidadania, o que se dá, precipuamente, a através educação de base.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pugna pela aprovação do presente Projeto de Lei.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 de Agosto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SANDRO MAURO LIMA DE ARAÚJO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