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RENATO CORDEIRO JÚNIOR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00205/2019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Inclui no Calendário Oficial de Eventos do Município de Niterói, “ Canta Rio do Ouro” no bairro do Rio do Ouro.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Fica incluído no Calendário Oficial do Município de Niterói, o evento “Canta Rio do Ouro” , a ser comemorado anualmente,  no primeiro final de semana do mês de outubro, no bairro Rio do Ouro.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As despesas decorrentes com a execução desta Lei serão obtidos por iniciativa própria mediante parceria com entidades privadas sem ônus para  o município ou  consignadas no Orçamento Municipal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Esta Lei entra em vigor na data de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Esta Lei visa promover o entretenimento na localidade do Rio do Ouro, por meio de eventos musicais, contemplando a pluraridade de ritmos e estilos,  valorizando a cultura e o desenvolvimento musical do nosso Município, conscientizando e divulgando a importância da música popular brasileira.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Conforme dispõe o art. 215 da Constituição Federal, o Estado brasileiro estabeleceu a cultura como direito fundamental para o desenvolvimento de seus cidadãos, e nessa condição instituiu a garantia de pleno exercício dos direitos culturais e acesso às fontes da cultura nacional.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música sempre esteve presente em todos os povos e em todas as épocas e faz parte do dia a dia das comunidades.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música tem um papel primordial na integração, socialização e lazer das pessoas.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8 de Agosto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RENATO CORDEIRO JÚNIOR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