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RENATO CORDEIRO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00204/2019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do Município de Niterói, o evento musical “ Lona Cultural Samba da Barreirinha”.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incluído no Calendário Oficial do Município de Niterói, o evento musical  "Lona Cultural Samba da Barreirinha”, a ser comemorado mensalmente,  no segundo final de semana do mês, na localidade da Barreirinha, no bairro do Caramujo.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As despesas decorrentes com a execução desta Lei serão obtidos por iniciativa própria mediante parceria com entidades privadas sem ônus para  o município ou  consignadas no Orçamento Municipal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Esta Lei visa promover o entretenimento na localidade da Barreirinha, no bairro Caramujo, por meio de eventos musicais, contemplando a pluralidade de ritmos e estilos,  valorizando a cultura e o desenvolvimento musical do nosso Município, conscientizando e divulgando a importância da música popular brasileira.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Conforme dispõe o Art. 215 da Constituição Federal, o Estado brasileiro estabeleceu a cultura como direito fundamental para o desenvolvimento de seus cidadãos, e nessa condição instituiu a garantia de pleno exercício dos direitos culturais e acesso às fontes da cultura nacional.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música sempre esteve presente em todos os povos e em todas as épocas e faz parte do dia a dia das comunidades.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música tem um papel primordial na integração, socialização e lazer das pessoas.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RENATO CORDEIRO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