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RENATO CORDEIRO JÚNIOR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00152/2019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Dispõe que os serviços técnicos de reparos prestados pela Enel no Município de Niterói sejam monitorados por câmeras filmadoras.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Estabelece, no município de Niterói, que os serviços técnicos provenientes por cobranças indevidas nas contas de luz e outros reparos nos medidores sejam monitorados por câmeras filmadoras, comprovando as atividades executadas pela empresa prestadora do serviço quanto a contestação do consumidor.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Esta Lei entra em vigor na data de sua publicação.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O Projeto de Lei visa preservar o direito dos consumidores junto à Enel, onde as reclamações de cobranças indevidas ou reparos nos medidores e, consequente, aumento dos valores cobrados nas contas de consumo de energia elétrica, são indeferidos pela empresa que alega a veracidade dos valores.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As gravações provenientes das filmagens dos serviços reparatórios servirão como forma comprobatória da execução dos serviços de reparos procedentes das reclamações dos clientes.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Ressalta-se, que o monitoramento com a instalação de câmeras está inserido nas prerrogativas do poder fiscalizatório do empregador e devem atender aos princípios gerais das monitorações, sendo eles: necessidade, finalidade, transparência, legitimidade, proporcionalidade, rigor e retenção dos dados e segurança, devendo os empregados estarem cientes da vigilância a que estão expostos, da localização das câmeras e seus fins.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6 de Junho de 2019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RENATO CORDEIRO JÚNIOR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