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8" w:type="dxa"/>
        <w:tblLayout w:type="fixed"/>
        <w:tblLook w:val="0000" w:firstRow="0" w:lastRow="0" w:firstColumn="0" w:lastColumn="0" w:noHBand="0" w:noVBand="0"/>
      </w:tblPr>
      <w:tblGrid>
        <w:gridCol w:w="1728"/>
        <w:gridCol w:w="7920"/>
      </w:tblGrid>
      <w:tr w:rsidR="00A049CD" w:rsidRPr="00E902E8" w:rsidTr="00DF510B">
        <w:trPr>
          <w:trHeight w:val="1971"/>
        </w:trPr>
        <w:tc>
          <w:tcPr>
            <w:tcW w:w="1728" w:type="dxa"/>
          </w:tcPr>
          <w:p w:rsidR="00A049CD" w:rsidRPr="00E902E8" w:rsidRDefault="00A049CD" w:rsidP="00DF510B">
            <w:pPr>
              <w:pStyle w:val="Cabealho"/>
              <w:snapToGrid w:val="0"/>
              <w:rPr>
                <w:rFonts w:ascii="Tahoma" w:hAnsi="Tahoma" w:cs="Tahoma"/>
                <w:sz w:val="22"/>
                <w:szCs w:val="32"/>
              </w:rPr>
            </w:pPr>
            <w:r>
              <w:rPr>
                <w:rFonts w:ascii="Tahoma" w:hAnsi="Tahoma" w:cs="Tahoma"/>
                <w:noProof/>
                <w:lang w:eastAsia="pt-BR"/>
              </w:rPr>
              <w:drawing>
                <wp:inline distT="0" distB="0" distL="0" distR="0">
                  <wp:extent cx="952500" cy="11334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solidFill>
                            <a:srgbClr val="FFFFFF"/>
                          </a:solidFill>
                          <a:ln>
                            <a:noFill/>
                          </a:ln>
                        </pic:spPr>
                      </pic:pic>
                    </a:graphicData>
                  </a:graphic>
                </wp:inline>
              </w:drawing>
            </w:r>
          </w:p>
        </w:tc>
        <w:tc>
          <w:tcPr>
            <w:tcW w:w="7920" w:type="dxa"/>
          </w:tcPr>
          <w:p w:rsidR="00A049CD" w:rsidRPr="00E902E8" w:rsidRDefault="00A049CD" w:rsidP="00DF510B">
            <w:pPr>
              <w:pStyle w:val="Cabealho"/>
              <w:snapToGrid w:val="0"/>
              <w:rPr>
                <w:rFonts w:ascii="Tahoma" w:hAnsi="Tahoma" w:cs="Tahoma"/>
                <w:sz w:val="22"/>
                <w:szCs w:val="32"/>
              </w:rPr>
            </w:pPr>
          </w:p>
          <w:p w:rsidR="00A049CD" w:rsidRPr="00E902E8" w:rsidRDefault="00A049CD" w:rsidP="00DF510B">
            <w:pPr>
              <w:pStyle w:val="Cabealho"/>
              <w:rPr>
                <w:rFonts w:ascii="Tahoma" w:hAnsi="Tahoma" w:cs="Tahoma"/>
                <w:sz w:val="22"/>
                <w:szCs w:val="32"/>
              </w:rPr>
            </w:pPr>
          </w:p>
          <w:p w:rsidR="00A049CD" w:rsidRPr="00E902E8" w:rsidRDefault="00A049CD" w:rsidP="00DF510B">
            <w:pPr>
              <w:pStyle w:val="Cabealho"/>
              <w:jc w:val="center"/>
              <w:rPr>
                <w:rFonts w:ascii="Tahoma" w:hAnsi="Tahoma" w:cs="Tahoma"/>
                <w:b/>
                <w:sz w:val="48"/>
                <w:szCs w:val="48"/>
              </w:rPr>
            </w:pPr>
            <w:r w:rsidRPr="00E902E8">
              <w:rPr>
                <w:rFonts w:ascii="Tahoma" w:hAnsi="Tahoma" w:cs="Tahoma"/>
                <w:b/>
                <w:sz w:val="48"/>
                <w:szCs w:val="48"/>
              </w:rPr>
              <w:t>Câmara Municipal de Niterói</w:t>
            </w:r>
          </w:p>
          <w:p w:rsidR="00A049CD" w:rsidRPr="00E902E8" w:rsidRDefault="00A049CD" w:rsidP="00DF510B">
            <w:pPr>
              <w:pStyle w:val="Cabealho"/>
              <w:jc w:val="center"/>
              <w:rPr>
                <w:rFonts w:ascii="Tahoma" w:hAnsi="Tahoma" w:cs="Tahoma"/>
                <w:sz w:val="4"/>
                <w:szCs w:val="36"/>
              </w:rPr>
            </w:pPr>
          </w:p>
          <w:p w:rsidR="00A049CD" w:rsidRPr="00E902E8" w:rsidRDefault="00A049CD" w:rsidP="00DF510B">
            <w:pPr>
              <w:pStyle w:val="Cabealho"/>
              <w:jc w:val="center"/>
              <w:rPr>
                <w:rFonts w:ascii="Tahoma" w:hAnsi="Tahoma" w:cs="Tahoma"/>
                <w:b/>
                <w:sz w:val="28"/>
                <w:szCs w:val="28"/>
              </w:rPr>
            </w:pPr>
            <w:r w:rsidRPr="00E902E8">
              <w:rPr>
                <w:rFonts w:ascii="Tahoma" w:hAnsi="Tahoma" w:cs="Tahoma"/>
                <w:b/>
                <w:sz w:val="28"/>
                <w:szCs w:val="28"/>
              </w:rPr>
              <w:t>Gabinete Vereador Sandro Araújo</w:t>
            </w:r>
          </w:p>
          <w:p w:rsidR="00A049CD" w:rsidRPr="00E902E8" w:rsidRDefault="00A049CD" w:rsidP="00DF510B">
            <w:pPr>
              <w:pStyle w:val="Cabealho"/>
              <w:jc w:val="center"/>
              <w:rPr>
                <w:rFonts w:ascii="Tahoma" w:hAnsi="Tahoma" w:cs="Tahoma"/>
                <w:b/>
                <w:sz w:val="28"/>
                <w:szCs w:val="28"/>
              </w:rPr>
            </w:pPr>
          </w:p>
        </w:tc>
      </w:tr>
    </w:tbl>
    <w:p w:rsidR="00A049CD" w:rsidRPr="00E902E8" w:rsidRDefault="00A049CD" w:rsidP="00A049CD">
      <w:pPr>
        <w:rPr>
          <w:rFonts w:ascii="Tahoma" w:hAnsi="Tahoma" w:cs="Tahoma"/>
        </w:rPr>
      </w:pPr>
    </w:p>
    <w:p w:rsidR="005A521F" w:rsidRPr="00CB75E9" w:rsidRDefault="005A521F" w:rsidP="00E634F6">
      <w:pPr>
        <w:shd w:val="clear" w:color="auto" w:fill="FFFFFF"/>
        <w:spacing w:after="0" w:line="360" w:lineRule="auto"/>
        <w:jc w:val="center"/>
        <w:rPr>
          <w:rFonts w:ascii="Tahoma" w:eastAsia="Times New Roman" w:hAnsi="Tahoma" w:cs="Tahoma"/>
          <w:color w:val="000000"/>
          <w:lang w:eastAsia="pt-BR"/>
        </w:rPr>
      </w:pPr>
      <w:r w:rsidRPr="00CB75E9">
        <w:rPr>
          <w:rFonts w:ascii="Tahoma" w:eastAsia="Times New Roman" w:hAnsi="Tahoma" w:cs="Tahoma"/>
          <w:b/>
          <w:bCs/>
          <w:color w:val="000000"/>
          <w:lang w:eastAsia="pt-BR"/>
        </w:rPr>
        <w:t>PROJETO DE LEI Nº ____/201</w:t>
      </w:r>
      <w:r w:rsidR="00A049CD">
        <w:rPr>
          <w:rFonts w:ascii="Tahoma" w:eastAsia="Times New Roman" w:hAnsi="Tahoma" w:cs="Tahoma"/>
          <w:b/>
          <w:bCs/>
          <w:color w:val="000000"/>
          <w:lang w:eastAsia="pt-BR"/>
        </w:rPr>
        <w:t>9</w:t>
      </w:r>
    </w:p>
    <w:p w:rsidR="005A521F" w:rsidRPr="00CB75E9" w:rsidRDefault="005A521F" w:rsidP="00E634F6">
      <w:pPr>
        <w:shd w:val="clear" w:color="auto" w:fill="FFFFFF"/>
        <w:spacing w:after="0" w:line="360" w:lineRule="auto"/>
        <w:ind w:left="3600"/>
        <w:rPr>
          <w:rFonts w:ascii="Tahoma" w:eastAsia="Times New Roman" w:hAnsi="Tahoma" w:cs="Tahoma"/>
          <w:b/>
          <w:bCs/>
          <w:color w:val="000000"/>
          <w:lang w:eastAsia="pt-BR"/>
        </w:rPr>
      </w:pPr>
    </w:p>
    <w:tbl>
      <w:tblPr>
        <w:tblW w:w="0" w:type="auto"/>
        <w:tblCellSpacing w:w="0" w:type="dxa"/>
        <w:tblInd w:w="3600" w:type="dxa"/>
        <w:tblCellMar>
          <w:left w:w="0" w:type="dxa"/>
          <w:right w:w="0" w:type="dxa"/>
        </w:tblCellMar>
        <w:tblLook w:val="04A0" w:firstRow="1" w:lastRow="0" w:firstColumn="1" w:lastColumn="0" w:noHBand="0" w:noVBand="1"/>
      </w:tblPr>
      <w:tblGrid>
        <w:gridCol w:w="4904"/>
      </w:tblGrid>
      <w:tr w:rsidR="005A521F" w:rsidRPr="00CB75E9" w:rsidTr="00A336D0">
        <w:trPr>
          <w:tblCellSpacing w:w="0" w:type="dxa"/>
        </w:trPr>
        <w:tc>
          <w:tcPr>
            <w:tcW w:w="4904" w:type="dxa"/>
            <w:hideMark/>
          </w:tcPr>
          <w:p w:rsidR="005A521F" w:rsidRPr="00CB75E9" w:rsidRDefault="005A521F" w:rsidP="00E634F6">
            <w:pPr>
              <w:spacing w:after="0" w:line="360" w:lineRule="auto"/>
              <w:rPr>
                <w:rFonts w:ascii="Tahoma" w:eastAsia="Times New Roman" w:hAnsi="Tahoma" w:cs="Tahoma"/>
                <w:b/>
                <w:bCs/>
                <w:lang w:eastAsia="pt-BR"/>
              </w:rPr>
            </w:pPr>
          </w:p>
          <w:p w:rsidR="00F96586" w:rsidRPr="007B6CA4" w:rsidRDefault="002A62EF" w:rsidP="00E634F6">
            <w:pPr>
              <w:shd w:val="clear" w:color="auto" w:fill="FFFFFF"/>
              <w:spacing w:before="161" w:after="161" w:line="360" w:lineRule="auto"/>
              <w:jc w:val="both"/>
              <w:outlineLvl w:val="0"/>
              <w:rPr>
                <w:rFonts w:ascii="Tahoma" w:eastAsia="Times New Roman" w:hAnsi="Tahoma" w:cs="Tahoma"/>
                <w:b/>
                <w:bCs/>
                <w:kern w:val="36"/>
                <w:lang w:eastAsia="pt-BR"/>
              </w:rPr>
            </w:pPr>
            <w:r w:rsidRPr="007B6CA4">
              <w:rPr>
                <w:rFonts w:ascii="Tahoma" w:hAnsi="Tahoma" w:cs="Tahoma"/>
                <w:b/>
              </w:rPr>
              <w:t>DETERMINA A UTILIZAÇÃO DE EQUIPAMENTO DE SEGURANÇA PARA RESGATE DE PESSOAS COM DEFICIÊNCIA OU COM MOBILIDADE REDUZIDA, NAS EDIFICAÇÕES COM MAIS</w:t>
            </w:r>
            <w:r w:rsidR="007B6CA4">
              <w:rPr>
                <w:rFonts w:ascii="Tahoma" w:hAnsi="Tahoma" w:cs="Tahoma"/>
                <w:b/>
              </w:rPr>
              <w:t xml:space="preserve"> DE TRÊS PAVIMENTOS INSTALDAS NA CIDADE DE NITERÓI</w:t>
            </w:r>
            <w:r w:rsidRPr="007B6CA4">
              <w:rPr>
                <w:rFonts w:ascii="Tahoma" w:hAnsi="Tahoma" w:cs="Tahoma"/>
                <w:b/>
              </w:rPr>
              <w:t xml:space="preserve"> E ESTABELECE CRITÉRIOS DE CONDUTA</w:t>
            </w:r>
            <w:r w:rsidR="00F96586" w:rsidRPr="007B6CA4">
              <w:rPr>
                <w:rFonts w:ascii="Tahoma" w:eastAsia="Times New Roman" w:hAnsi="Tahoma" w:cs="Tahoma"/>
                <w:b/>
                <w:bCs/>
                <w:kern w:val="36"/>
                <w:lang w:eastAsia="pt-BR"/>
              </w:rPr>
              <w:t>.</w:t>
            </w:r>
          </w:p>
          <w:p w:rsidR="005A521F" w:rsidRPr="00CB75E9" w:rsidRDefault="005A521F" w:rsidP="00E634F6">
            <w:pPr>
              <w:spacing w:after="0" w:line="360" w:lineRule="auto"/>
              <w:jc w:val="both"/>
              <w:rPr>
                <w:rFonts w:ascii="Tahoma" w:eastAsia="Times New Roman" w:hAnsi="Tahoma" w:cs="Tahoma"/>
                <w:lang w:eastAsia="pt-BR"/>
              </w:rPr>
            </w:pPr>
          </w:p>
        </w:tc>
      </w:tr>
    </w:tbl>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p>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p>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r w:rsidRPr="00CB75E9">
        <w:rPr>
          <w:rFonts w:ascii="Tahoma" w:eastAsia="Times New Roman" w:hAnsi="Tahoma" w:cs="Tahoma"/>
          <w:b/>
          <w:bCs/>
          <w:color w:val="000000"/>
          <w:shd w:val="clear" w:color="auto" w:fill="FFFFFF"/>
          <w:lang w:eastAsia="pt-BR"/>
        </w:rPr>
        <w:t>Autor: VEREADOR SANDRO ARAÚJO</w:t>
      </w:r>
      <w:r w:rsidRPr="00CB75E9">
        <w:rPr>
          <w:rFonts w:ascii="Tahoma" w:eastAsia="Times New Roman" w:hAnsi="Tahoma" w:cs="Tahoma"/>
          <w:color w:val="000000"/>
          <w:lang w:eastAsia="pt-BR"/>
        </w:rPr>
        <w:br/>
      </w:r>
      <w:r w:rsidRPr="00CB75E9">
        <w:rPr>
          <w:rFonts w:ascii="Tahoma" w:eastAsia="Times New Roman" w:hAnsi="Tahoma" w:cs="Tahoma"/>
          <w:color w:val="000000"/>
          <w:lang w:eastAsia="pt-BR"/>
        </w:rPr>
        <w:br/>
      </w:r>
      <w:r w:rsidRPr="00CB75E9">
        <w:rPr>
          <w:rFonts w:ascii="Tahoma" w:eastAsia="Times New Roman" w:hAnsi="Tahoma" w:cs="Tahoma"/>
          <w:color w:val="000000"/>
          <w:lang w:eastAsia="pt-BR"/>
        </w:rPr>
        <w:br/>
      </w:r>
      <w:r w:rsidRPr="00CB75E9">
        <w:rPr>
          <w:rFonts w:ascii="Tahoma" w:eastAsia="Times New Roman" w:hAnsi="Tahoma" w:cs="Tahoma"/>
          <w:b/>
          <w:bCs/>
          <w:color w:val="000000"/>
          <w:shd w:val="clear" w:color="auto" w:fill="FFFFFF"/>
          <w:lang w:eastAsia="pt-BR"/>
        </w:rPr>
        <w:t>A CÂMARA MUNICIPAL DE NITERÓI</w:t>
      </w:r>
    </w:p>
    <w:p w:rsidR="005A521F" w:rsidRPr="00CB75E9" w:rsidRDefault="005A521F" w:rsidP="00E634F6">
      <w:pPr>
        <w:spacing w:after="0" w:line="360" w:lineRule="auto"/>
        <w:rPr>
          <w:rFonts w:ascii="Tahoma" w:eastAsia="Times New Roman" w:hAnsi="Tahoma" w:cs="Tahoma"/>
          <w:b/>
          <w:bCs/>
          <w:color w:val="000000"/>
          <w:shd w:val="clear" w:color="auto" w:fill="FFFFFF"/>
          <w:lang w:eastAsia="pt-BR"/>
        </w:rPr>
      </w:pPr>
    </w:p>
    <w:p w:rsidR="005A521F" w:rsidRPr="00CB75E9" w:rsidRDefault="005A521F" w:rsidP="00E634F6">
      <w:pPr>
        <w:spacing w:after="0" w:line="360" w:lineRule="auto"/>
        <w:rPr>
          <w:rFonts w:ascii="Tahoma" w:eastAsia="Times New Roman" w:hAnsi="Tahoma" w:cs="Tahoma"/>
          <w:lang w:eastAsia="pt-BR"/>
        </w:rPr>
      </w:pPr>
    </w:p>
    <w:p w:rsidR="005A521F" w:rsidRPr="00CB75E9" w:rsidRDefault="005A521F" w:rsidP="00E634F6">
      <w:pPr>
        <w:shd w:val="clear" w:color="auto" w:fill="FFFFFF"/>
        <w:spacing w:after="0" w:line="360" w:lineRule="auto"/>
        <w:jc w:val="right"/>
        <w:rPr>
          <w:rFonts w:ascii="Tahoma" w:eastAsia="Times New Roman" w:hAnsi="Tahoma" w:cs="Tahoma"/>
          <w:b/>
          <w:bCs/>
          <w:color w:val="000000"/>
          <w:lang w:eastAsia="pt-BR"/>
        </w:rPr>
      </w:pPr>
      <w:r w:rsidRPr="00CB75E9">
        <w:rPr>
          <w:rFonts w:ascii="Tahoma" w:eastAsia="Times New Roman" w:hAnsi="Tahoma" w:cs="Tahoma"/>
          <w:b/>
          <w:bCs/>
          <w:color w:val="000000"/>
          <w:lang w:eastAsia="pt-BR"/>
        </w:rPr>
        <w:t>D E C R E T A:</w:t>
      </w:r>
    </w:p>
    <w:p w:rsidR="005A521F" w:rsidRPr="00CB75E9" w:rsidRDefault="005A521F" w:rsidP="00E634F6">
      <w:pPr>
        <w:pStyle w:val="NormalWeb"/>
        <w:shd w:val="clear" w:color="auto" w:fill="FFFFFF"/>
        <w:spacing w:before="0" w:beforeAutospacing="0" w:after="150" w:afterAutospacing="0" w:line="360" w:lineRule="auto"/>
        <w:jc w:val="both"/>
        <w:rPr>
          <w:rStyle w:val="Forte"/>
          <w:rFonts w:ascii="Tahoma" w:hAnsi="Tahoma" w:cs="Tahoma"/>
          <w:color w:val="333333"/>
          <w:sz w:val="22"/>
          <w:szCs w:val="22"/>
        </w:rPr>
      </w:pPr>
    </w:p>
    <w:p w:rsidR="007B6CA4" w:rsidRPr="007B6CA4" w:rsidRDefault="007B6CA4" w:rsidP="007B6CA4">
      <w:pPr>
        <w:autoSpaceDE w:val="0"/>
        <w:autoSpaceDN w:val="0"/>
        <w:adjustRightInd w:val="0"/>
        <w:spacing w:line="360" w:lineRule="auto"/>
        <w:jc w:val="both"/>
        <w:rPr>
          <w:rFonts w:ascii="Tahoma" w:hAnsi="Tahoma" w:cs="Tahoma"/>
        </w:rPr>
      </w:pPr>
      <w:r w:rsidRPr="007B6CA4">
        <w:rPr>
          <w:rFonts w:ascii="Tahoma" w:hAnsi="Tahoma" w:cs="Tahoma"/>
          <w:b/>
        </w:rPr>
        <w:t>Art. 1º</w:t>
      </w:r>
      <w:r w:rsidRPr="007B6CA4">
        <w:rPr>
          <w:rFonts w:ascii="Tahoma" w:hAnsi="Tahoma" w:cs="Tahoma"/>
        </w:rPr>
        <w:t xml:space="preserve"> - É obrigatório o uso de equipamento de segurança do tipo cadeira-resgate, para facilitar o salvamento de pessoa com deficiência ou com mobilidade reduzida nas edificações públicas ou privadas destinadas ao uso coletivo ou multifamiliar, com mais de três </w:t>
      </w:r>
      <w:r>
        <w:rPr>
          <w:rFonts w:ascii="Tahoma" w:hAnsi="Tahoma" w:cs="Tahoma"/>
        </w:rPr>
        <w:t>pavimentos instaladas no Município de Niterói</w:t>
      </w:r>
      <w:r w:rsidRPr="007B6CA4">
        <w:rPr>
          <w:rFonts w:ascii="Tahoma" w:hAnsi="Tahoma" w:cs="Tahoma"/>
        </w:rPr>
        <w:t>.</w:t>
      </w:r>
    </w:p>
    <w:p w:rsidR="007B6CA4" w:rsidRPr="007B6CA4" w:rsidRDefault="007B6CA4" w:rsidP="007B6CA4">
      <w:pPr>
        <w:spacing w:before="100" w:beforeAutospacing="1" w:after="100" w:afterAutospacing="1" w:line="360" w:lineRule="auto"/>
        <w:jc w:val="both"/>
        <w:rPr>
          <w:rFonts w:ascii="Tahoma" w:hAnsi="Tahoma" w:cs="Tahoma"/>
          <w:bCs/>
        </w:rPr>
      </w:pPr>
      <w:r w:rsidRPr="007B6CA4">
        <w:rPr>
          <w:rFonts w:ascii="Tahoma" w:hAnsi="Tahoma" w:cs="Tahoma"/>
          <w:b/>
          <w:bCs/>
        </w:rPr>
        <w:t>§ 1º -</w:t>
      </w:r>
      <w:r w:rsidRPr="007B6CA4">
        <w:rPr>
          <w:rFonts w:ascii="Tahoma" w:hAnsi="Tahoma" w:cs="Tahoma"/>
          <w:bCs/>
        </w:rPr>
        <w:t xml:space="preserve"> Edificações de uso público são aquelas administradas por entidades da administração pública, direta e indiretamente, ou por empresas prestadoras de serviços públicos destinados a toda sociedade.</w:t>
      </w:r>
    </w:p>
    <w:p w:rsidR="007B6CA4" w:rsidRPr="007B6CA4" w:rsidRDefault="007B6CA4" w:rsidP="007B6CA4">
      <w:pPr>
        <w:spacing w:before="100" w:beforeAutospacing="1" w:after="100" w:afterAutospacing="1" w:line="360" w:lineRule="auto"/>
        <w:jc w:val="both"/>
        <w:rPr>
          <w:rFonts w:ascii="Tahoma" w:hAnsi="Tahoma" w:cs="Tahoma"/>
          <w:bCs/>
        </w:rPr>
      </w:pPr>
      <w:r w:rsidRPr="007B6CA4">
        <w:rPr>
          <w:rFonts w:ascii="Tahoma" w:hAnsi="Tahoma" w:cs="Tahoma"/>
          <w:b/>
          <w:bCs/>
        </w:rPr>
        <w:lastRenderedPageBreak/>
        <w:t>§ 2º -</w:t>
      </w:r>
      <w:r w:rsidRPr="007B6CA4">
        <w:rPr>
          <w:rFonts w:ascii="Tahoma" w:hAnsi="Tahoma" w:cs="Tahoma"/>
          <w:bCs/>
        </w:rPr>
        <w:t> Edificações de uso coletivo são aquelas destinadas às atividades de natureza comercial, hoteleira, cultural, esportiva, financeira, turística, recreativa, social, religiosa, educacional, industrial e de saúde, inclusive as edificações de prestação de serviços de atividades da mesma natureza.</w:t>
      </w:r>
    </w:p>
    <w:p w:rsidR="007B6CA4" w:rsidRPr="007B6CA4" w:rsidRDefault="007B6CA4" w:rsidP="007B6CA4">
      <w:pPr>
        <w:spacing w:before="100" w:beforeAutospacing="1" w:after="100" w:afterAutospacing="1" w:line="360" w:lineRule="auto"/>
        <w:jc w:val="both"/>
        <w:rPr>
          <w:rFonts w:ascii="Tahoma" w:hAnsi="Tahoma" w:cs="Tahoma"/>
          <w:bCs/>
        </w:rPr>
      </w:pPr>
      <w:r w:rsidRPr="007B6CA4">
        <w:rPr>
          <w:rFonts w:ascii="Tahoma" w:hAnsi="Tahoma" w:cs="Tahoma"/>
          <w:b/>
          <w:bCs/>
        </w:rPr>
        <w:t>§ 3º -</w:t>
      </w:r>
      <w:r w:rsidRPr="007B6CA4">
        <w:rPr>
          <w:rFonts w:ascii="Tahoma" w:hAnsi="Tahoma" w:cs="Tahoma"/>
          <w:bCs/>
        </w:rPr>
        <w:t xml:space="preserve"> Edificações privadas de uso multifamiliar são aquelas destinadas à habitação, </w:t>
      </w:r>
      <w:r w:rsidRPr="007B6CA4">
        <w:rPr>
          <w:rFonts w:ascii="Tahoma" w:hAnsi="Tahoma" w:cs="Tahoma"/>
        </w:rPr>
        <w:t>caracterizadas pel</w:t>
      </w:r>
      <w:r w:rsidRPr="007B6CA4">
        <w:rPr>
          <w:rFonts w:ascii="Tahoma" w:hAnsi="Tahoma" w:cs="Tahoma"/>
          <w:bCs/>
        </w:rPr>
        <w:t>o agrupamento de unidades residenciais verticalmente sobrepostas e a partir de três pavimentos em uma única edificação.</w:t>
      </w:r>
    </w:p>
    <w:p w:rsidR="007B6CA4" w:rsidRPr="007B6CA4" w:rsidRDefault="007B6CA4" w:rsidP="007B6CA4">
      <w:pPr>
        <w:autoSpaceDE w:val="0"/>
        <w:autoSpaceDN w:val="0"/>
        <w:adjustRightInd w:val="0"/>
        <w:spacing w:line="360" w:lineRule="auto"/>
        <w:jc w:val="both"/>
        <w:rPr>
          <w:rFonts w:ascii="Tahoma" w:hAnsi="Tahoma" w:cs="Tahoma"/>
        </w:rPr>
      </w:pPr>
      <w:r w:rsidRPr="007B6CA4">
        <w:rPr>
          <w:rFonts w:ascii="Tahoma" w:hAnsi="Tahoma" w:cs="Tahoma"/>
          <w:b/>
        </w:rPr>
        <w:t>Art. 2º</w:t>
      </w:r>
      <w:r w:rsidRPr="007B6CA4">
        <w:rPr>
          <w:rFonts w:ascii="Tahoma" w:hAnsi="Tahoma" w:cs="Tahoma"/>
        </w:rPr>
        <w:t xml:space="preserve"> - A pa</w:t>
      </w:r>
      <w:r>
        <w:rPr>
          <w:rFonts w:ascii="Tahoma" w:hAnsi="Tahoma" w:cs="Tahoma"/>
        </w:rPr>
        <w:t>rtir do quarto pavimento, contad</w:t>
      </w:r>
      <w:r w:rsidRPr="007B6CA4">
        <w:rPr>
          <w:rFonts w:ascii="Tahoma" w:hAnsi="Tahoma" w:cs="Tahoma"/>
        </w:rPr>
        <w:t>os sempre de quatro em quatro andares, fica obrigada a instalação de uma cadeira-resgate fixada próximo aos equipamentos de segurança contra incêndio ou em local visível e de fácil acesso.</w:t>
      </w:r>
    </w:p>
    <w:p w:rsidR="007B6CA4" w:rsidRPr="007B6CA4" w:rsidRDefault="007B6CA4" w:rsidP="007B6CA4">
      <w:pPr>
        <w:autoSpaceDE w:val="0"/>
        <w:autoSpaceDN w:val="0"/>
        <w:adjustRightInd w:val="0"/>
        <w:spacing w:line="360" w:lineRule="auto"/>
        <w:jc w:val="both"/>
        <w:rPr>
          <w:rFonts w:ascii="Tahoma" w:hAnsi="Tahoma" w:cs="Tahoma"/>
        </w:rPr>
      </w:pPr>
      <w:r w:rsidRPr="007B6CA4">
        <w:rPr>
          <w:rFonts w:ascii="Tahoma" w:hAnsi="Tahoma" w:cs="Tahoma"/>
          <w:b/>
          <w:bCs/>
        </w:rPr>
        <w:t>Parágrafo único -</w:t>
      </w:r>
      <w:r w:rsidRPr="007B6CA4">
        <w:rPr>
          <w:rFonts w:ascii="Tahoma" w:hAnsi="Tahoma" w:cs="Tahoma"/>
          <w:bCs/>
        </w:rPr>
        <w:t xml:space="preserve"> </w:t>
      </w:r>
      <w:r w:rsidRPr="007B6CA4">
        <w:rPr>
          <w:rFonts w:ascii="Tahoma" w:hAnsi="Tahoma" w:cs="Tahoma"/>
        </w:rPr>
        <w:t>A fixação da cadeira-resgate deverá ser feita de forma que o lacre de segurança seja rompido por qualquer pessoa sem a utilização de ferramentas.</w:t>
      </w:r>
    </w:p>
    <w:p w:rsidR="007B6CA4" w:rsidRPr="007B6CA4" w:rsidRDefault="007B6CA4" w:rsidP="007B6CA4">
      <w:pPr>
        <w:autoSpaceDE w:val="0"/>
        <w:autoSpaceDN w:val="0"/>
        <w:adjustRightInd w:val="0"/>
        <w:spacing w:line="360" w:lineRule="auto"/>
        <w:jc w:val="both"/>
        <w:rPr>
          <w:rFonts w:ascii="Tahoma" w:hAnsi="Tahoma" w:cs="Tahoma"/>
          <w:bCs/>
        </w:rPr>
      </w:pPr>
      <w:r w:rsidRPr="007B6CA4">
        <w:rPr>
          <w:rFonts w:ascii="Tahoma" w:hAnsi="Tahoma" w:cs="Tahoma"/>
          <w:b/>
        </w:rPr>
        <w:t>Art. 3º -</w:t>
      </w:r>
      <w:r w:rsidRPr="007B6CA4">
        <w:rPr>
          <w:rFonts w:ascii="Tahoma" w:hAnsi="Tahoma" w:cs="Tahoma"/>
        </w:rPr>
        <w:t xml:space="preserve"> </w:t>
      </w:r>
      <w:r w:rsidRPr="007B6CA4">
        <w:rPr>
          <w:rFonts w:ascii="Tahoma" w:hAnsi="Tahoma" w:cs="Tahoma"/>
          <w:bCs/>
        </w:rPr>
        <w:t>Ficam dispensadas do cumprimento desta Lei as edificações antigas que possuam escadas em curva ou em formato que impossibilite o uso adequado do equipamento.</w:t>
      </w:r>
    </w:p>
    <w:p w:rsidR="007B6CA4" w:rsidRPr="007B6CA4" w:rsidRDefault="007B6CA4" w:rsidP="007B6CA4">
      <w:pPr>
        <w:autoSpaceDE w:val="0"/>
        <w:autoSpaceDN w:val="0"/>
        <w:adjustRightInd w:val="0"/>
        <w:spacing w:line="360" w:lineRule="auto"/>
        <w:jc w:val="both"/>
        <w:rPr>
          <w:rFonts w:ascii="Tahoma" w:hAnsi="Tahoma" w:cs="Tahoma"/>
          <w:bCs/>
        </w:rPr>
      </w:pPr>
      <w:r w:rsidRPr="007B6CA4">
        <w:rPr>
          <w:rFonts w:ascii="Tahoma" w:hAnsi="Tahoma" w:cs="Tahoma"/>
          <w:b/>
        </w:rPr>
        <w:t>Art. 4º -</w:t>
      </w:r>
      <w:r w:rsidRPr="007B6CA4">
        <w:rPr>
          <w:rFonts w:ascii="Tahoma" w:hAnsi="Tahoma" w:cs="Tahoma"/>
        </w:rPr>
        <w:t xml:space="preserve"> A</w:t>
      </w:r>
      <w:r w:rsidRPr="007B6CA4">
        <w:rPr>
          <w:rFonts w:ascii="Tahoma" w:hAnsi="Tahoma" w:cs="Tahoma"/>
          <w:bCs/>
        </w:rPr>
        <w:t xml:space="preserve"> expedição do habite-se às edificações novas, construídas após a publicação desta Lei, fica condicionada à comprovação da disponibilidade da cadeira-resgate junto aos equipamentos de segurança.</w:t>
      </w:r>
    </w:p>
    <w:p w:rsidR="007B6CA4" w:rsidRPr="007B6CA4" w:rsidRDefault="007B6CA4" w:rsidP="007B6CA4">
      <w:pPr>
        <w:autoSpaceDE w:val="0"/>
        <w:autoSpaceDN w:val="0"/>
        <w:adjustRightInd w:val="0"/>
        <w:spacing w:line="360" w:lineRule="auto"/>
        <w:jc w:val="both"/>
        <w:rPr>
          <w:rFonts w:ascii="Tahoma" w:hAnsi="Tahoma" w:cs="Tahoma"/>
        </w:rPr>
      </w:pPr>
      <w:r w:rsidRPr="007B6CA4">
        <w:rPr>
          <w:rFonts w:ascii="Tahoma" w:hAnsi="Tahoma" w:cs="Tahoma"/>
          <w:b/>
        </w:rPr>
        <w:t>Art. 5º -</w:t>
      </w:r>
      <w:r w:rsidRPr="007B6CA4">
        <w:rPr>
          <w:rFonts w:ascii="Tahoma" w:hAnsi="Tahoma" w:cs="Tahoma"/>
        </w:rPr>
        <w:t xml:space="preserve"> </w:t>
      </w:r>
      <w:r w:rsidRPr="007B6CA4">
        <w:rPr>
          <w:rFonts w:ascii="Tahoma" w:hAnsi="Tahoma" w:cs="Tahoma"/>
          <w:bCs/>
        </w:rPr>
        <w:t>O prazo para aquisição e fixação da cadeira-resgate em local adequado será de 180 (cento e oitenta) dias contados da publicação desta lei.</w:t>
      </w:r>
    </w:p>
    <w:p w:rsidR="007B6CA4" w:rsidRPr="007B6CA4" w:rsidRDefault="007B6CA4" w:rsidP="007B6CA4">
      <w:pPr>
        <w:autoSpaceDE w:val="0"/>
        <w:autoSpaceDN w:val="0"/>
        <w:adjustRightInd w:val="0"/>
        <w:spacing w:line="360" w:lineRule="auto"/>
        <w:jc w:val="both"/>
        <w:rPr>
          <w:rFonts w:ascii="Tahoma" w:hAnsi="Tahoma" w:cs="Tahoma"/>
        </w:rPr>
      </w:pPr>
      <w:r w:rsidRPr="007B6CA4">
        <w:rPr>
          <w:rFonts w:ascii="Tahoma" w:hAnsi="Tahoma" w:cs="Tahoma"/>
          <w:b/>
          <w:bCs/>
        </w:rPr>
        <w:t>Parágrafo único -</w:t>
      </w:r>
      <w:r w:rsidRPr="007B6CA4">
        <w:rPr>
          <w:rFonts w:ascii="Tahoma" w:hAnsi="Tahoma" w:cs="Tahoma"/>
          <w:bCs/>
        </w:rPr>
        <w:t xml:space="preserve"> </w:t>
      </w:r>
      <w:r w:rsidRPr="007B6CA4">
        <w:rPr>
          <w:rFonts w:ascii="Tahoma" w:hAnsi="Tahoma" w:cs="Tahoma"/>
        </w:rPr>
        <w:t>O descumprimento do prazo estipulado no caput deste artigo implicará multa mensal no valor correspondente a cinco por cento do somatório do lançamento do IPTU, no exercício, de todos os imóveis que compõem o condomínio.</w:t>
      </w:r>
    </w:p>
    <w:p w:rsidR="007B6CA4" w:rsidRPr="007B6CA4" w:rsidRDefault="007B6CA4" w:rsidP="007B6CA4">
      <w:pPr>
        <w:pStyle w:val="Ttulo"/>
        <w:spacing w:line="360" w:lineRule="auto"/>
        <w:jc w:val="both"/>
        <w:rPr>
          <w:rStyle w:val="Forte"/>
          <w:rFonts w:ascii="Tahoma" w:eastAsia="Lucida Sans Unicode" w:hAnsi="Tahoma" w:cs="Tahoma"/>
          <w:sz w:val="22"/>
          <w:szCs w:val="22"/>
        </w:rPr>
      </w:pPr>
      <w:r w:rsidRPr="007B6CA4">
        <w:rPr>
          <w:rStyle w:val="Forte"/>
          <w:rFonts w:ascii="Tahoma" w:eastAsia="Lucida Sans Unicode" w:hAnsi="Tahoma" w:cs="Tahoma"/>
          <w:b/>
          <w:sz w:val="22"/>
          <w:szCs w:val="22"/>
        </w:rPr>
        <w:t xml:space="preserve">Art. 6º </w:t>
      </w:r>
      <w:r w:rsidRPr="007B6CA4">
        <w:rPr>
          <w:rStyle w:val="Forte"/>
          <w:rFonts w:ascii="Tahoma" w:eastAsia="Lucida Sans Unicode" w:hAnsi="Tahoma" w:cs="Tahoma"/>
          <w:sz w:val="22"/>
          <w:szCs w:val="22"/>
        </w:rPr>
        <w:t>- A cadeira-resgate deverá contemplar, além de outros requisitos estabelecidos em regulamentação e nas normas técnicas pertinentes, o seguinte:</w:t>
      </w:r>
    </w:p>
    <w:p w:rsidR="007B6CA4" w:rsidRPr="007B6CA4" w:rsidRDefault="007B6CA4" w:rsidP="007B6CA4">
      <w:pPr>
        <w:pStyle w:val="Ttulo"/>
        <w:numPr>
          <w:ilvl w:val="0"/>
          <w:numId w:val="3"/>
        </w:numPr>
        <w:tabs>
          <w:tab w:val="left" w:pos="0"/>
        </w:tabs>
        <w:spacing w:before="0" w:after="0" w:line="360" w:lineRule="auto"/>
        <w:ind w:left="0" w:firstLine="0"/>
        <w:jc w:val="both"/>
        <w:rPr>
          <w:rStyle w:val="Forte"/>
          <w:rFonts w:ascii="Tahoma" w:eastAsia="Lucida Sans Unicode" w:hAnsi="Tahoma" w:cs="Tahoma"/>
          <w:sz w:val="22"/>
          <w:szCs w:val="22"/>
        </w:rPr>
      </w:pPr>
      <w:r w:rsidRPr="007B6CA4">
        <w:rPr>
          <w:rStyle w:val="Forte"/>
          <w:rFonts w:ascii="Tahoma" w:eastAsia="Lucida Sans Unicode" w:hAnsi="Tahoma" w:cs="Tahoma"/>
          <w:sz w:val="22"/>
          <w:szCs w:val="22"/>
        </w:rPr>
        <w:t>peso máximo de até 15 kg;</w:t>
      </w:r>
    </w:p>
    <w:p w:rsidR="007B6CA4" w:rsidRPr="007B6CA4" w:rsidRDefault="007B6CA4" w:rsidP="007B6CA4">
      <w:pPr>
        <w:pStyle w:val="Ttulo"/>
        <w:numPr>
          <w:ilvl w:val="0"/>
          <w:numId w:val="3"/>
        </w:numPr>
        <w:tabs>
          <w:tab w:val="left" w:pos="0"/>
        </w:tabs>
        <w:spacing w:before="0" w:after="0" w:line="360" w:lineRule="auto"/>
        <w:ind w:left="0" w:firstLine="0"/>
        <w:jc w:val="both"/>
        <w:rPr>
          <w:rStyle w:val="Forte"/>
          <w:rFonts w:ascii="Tahoma" w:eastAsia="Lucida Sans Unicode" w:hAnsi="Tahoma" w:cs="Tahoma"/>
          <w:sz w:val="22"/>
          <w:szCs w:val="22"/>
        </w:rPr>
      </w:pPr>
      <w:r w:rsidRPr="007B6CA4">
        <w:rPr>
          <w:rStyle w:val="Forte"/>
          <w:rFonts w:ascii="Tahoma" w:eastAsia="Lucida Sans Unicode" w:hAnsi="Tahoma" w:cs="Tahoma"/>
          <w:sz w:val="22"/>
          <w:szCs w:val="22"/>
        </w:rPr>
        <w:t>capacidade de carga não inferior a 140kg;</w:t>
      </w:r>
    </w:p>
    <w:p w:rsidR="007B6CA4" w:rsidRPr="007B6CA4" w:rsidRDefault="007B6CA4" w:rsidP="007B6CA4">
      <w:pPr>
        <w:pStyle w:val="Ttulo"/>
        <w:numPr>
          <w:ilvl w:val="0"/>
          <w:numId w:val="3"/>
        </w:numPr>
        <w:tabs>
          <w:tab w:val="left" w:pos="0"/>
        </w:tabs>
        <w:spacing w:before="0" w:after="0" w:line="360" w:lineRule="auto"/>
        <w:ind w:left="0" w:firstLine="0"/>
        <w:jc w:val="both"/>
        <w:rPr>
          <w:rStyle w:val="Forte"/>
          <w:rFonts w:ascii="Tahoma" w:eastAsia="Lucida Sans Unicode" w:hAnsi="Tahoma" w:cs="Tahoma"/>
          <w:sz w:val="22"/>
          <w:szCs w:val="22"/>
        </w:rPr>
      </w:pPr>
      <w:r w:rsidRPr="007B6CA4">
        <w:rPr>
          <w:rStyle w:val="Forte"/>
          <w:rFonts w:ascii="Tahoma" w:eastAsia="Lucida Sans Unicode" w:hAnsi="Tahoma" w:cs="Tahoma"/>
          <w:sz w:val="22"/>
          <w:szCs w:val="22"/>
        </w:rPr>
        <w:t>sistema deslizante que não produza impactos durante o uso;</w:t>
      </w:r>
    </w:p>
    <w:p w:rsidR="007B6CA4" w:rsidRPr="007B6CA4" w:rsidRDefault="007B6CA4" w:rsidP="007B6CA4">
      <w:pPr>
        <w:pStyle w:val="Ttulo"/>
        <w:numPr>
          <w:ilvl w:val="0"/>
          <w:numId w:val="3"/>
        </w:numPr>
        <w:tabs>
          <w:tab w:val="left" w:pos="0"/>
        </w:tabs>
        <w:spacing w:before="0" w:after="0" w:line="360" w:lineRule="auto"/>
        <w:ind w:left="0" w:firstLine="0"/>
        <w:jc w:val="both"/>
        <w:rPr>
          <w:rStyle w:val="Forte"/>
          <w:rFonts w:ascii="Tahoma" w:eastAsia="Lucida Sans Unicode" w:hAnsi="Tahoma" w:cs="Tahoma"/>
          <w:sz w:val="22"/>
          <w:szCs w:val="22"/>
        </w:rPr>
      </w:pPr>
      <w:r w:rsidRPr="007B6CA4">
        <w:rPr>
          <w:rStyle w:val="Forte"/>
          <w:rFonts w:ascii="Tahoma" w:eastAsia="Lucida Sans Unicode" w:hAnsi="Tahoma" w:cs="Tahoma"/>
          <w:sz w:val="22"/>
          <w:szCs w:val="22"/>
        </w:rPr>
        <w:t>possibilidade operativa por uma pessoa conduzindo o transportado pelas escadas.</w:t>
      </w:r>
    </w:p>
    <w:p w:rsidR="007B6CA4" w:rsidRPr="007B6CA4" w:rsidRDefault="007B6CA4" w:rsidP="007B6CA4">
      <w:pPr>
        <w:pStyle w:val="Commarcadores"/>
        <w:numPr>
          <w:ilvl w:val="0"/>
          <w:numId w:val="0"/>
        </w:numPr>
        <w:spacing w:line="360" w:lineRule="auto"/>
        <w:jc w:val="both"/>
        <w:rPr>
          <w:rFonts w:ascii="Tahoma" w:hAnsi="Tahoma" w:cs="Tahoma"/>
          <w:b/>
          <w:sz w:val="22"/>
          <w:szCs w:val="22"/>
        </w:rPr>
      </w:pPr>
    </w:p>
    <w:p w:rsidR="007B6CA4" w:rsidRPr="007B6CA4" w:rsidRDefault="007B6CA4" w:rsidP="007B6CA4">
      <w:pPr>
        <w:pStyle w:val="Commarcadores"/>
        <w:numPr>
          <w:ilvl w:val="0"/>
          <w:numId w:val="0"/>
        </w:numPr>
        <w:spacing w:line="360" w:lineRule="auto"/>
        <w:jc w:val="both"/>
        <w:rPr>
          <w:rFonts w:ascii="Tahoma" w:hAnsi="Tahoma" w:cs="Tahoma"/>
          <w:sz w:val="22"/>
          <w:szCs w:val="22"/>
        </w:rPr>
      </w:pPr>
      <w:r w:rsidRPr="007B6CA4">
        <w:rPr>
          <w:rFonts w:ascii="Tahoma" w:hAnsi="Tahoma" w:cs="Tahoma"/>
          <w:b/>
          <w:sz w:val="22"/>
          <w:szCs w:val="22"/>
        </w:rPr>
        <w:t>Art. 7º</w:t>
      </w:r>
      <w:r w:rsidRPr="007B6CA4">
        <w:rPr>
          <w:rFonts w:ascii="Tahoma" w:hAnsi="Tahoma" w:cs="Tahoma"/>
          <w:sz w:val="22"/>
          <w:szCs w:val="22"/>
        </w:rPr>
        <w:t xml:space="preserve"> - O Poder Executivo regulamentará esta Lei no prazo de 90 (noventa) dias após sua publicação, de acordo com as diretrizes da legislação federal pertinente e os critérios estabelecidos nas normas técnicas.</w:t>
      </w:r>
    </w:p>
    <w:p w:rsidR="007B6CA4" w:rsidRPr="007B6CA4" w:rsidRDefault="007B6CA4" w:rsidP="007B6CA4">
      <w:pPr>
        <w:spacing w:before="100" w:beforeAutospacing="1" w:after="100" w:afterAutospacing="1" w:line="360" w:lineRule="auto"/>
        <w:jc w:val="both"/>
        <w:rPr>
          <w:rFonts w:ascii="Tahoma" w:hAnsi="Tahoma" w:cs="Tahoma"/>
        </w:rPr>
      </w:pPr>
      <w:r w:rsidRPr="007B6CA4">
        <w:rPr>
          <w:rFonts w:ascii="Tahoma" w:hAnsi="Tahoma" w:cs="Tahoma"/>
          <w:b/>
        </w:rPr>
        <w:lastRenderedPageBreak/>
        <w:t>Parágrafo único</w:t>
      </w:r>
      <w:r w:rsidRPr="007B6CA4">
        <w:rPr>
          <w:rFonts w:ascii="Tahoma" w:hAnsi="Tahoma" w:cs="Tahoma"/>
        </w:rPr>
        <w:t xml:space="preserve"> -  Na elaboração da regulamentação desta Lei serão considerados os pareceres de Comissão de Acessibilidade, instituída para esse fim, e do</w:t>
      </w:r>
      <w:r>
        <w:rPr>
          <w:rFonts w:ascii="Tahoma" w:hAnsi="Tahoma" w:cs="Tahoma"/>
        </w:rPr>
        <w:t xml:space="preserve"> Conselho Municipal da Pessoa com Deficiência - COMPEDE</w:t>
      </w:r>
      <w:r w:rsidRPr="007B6CA4">
        <w:rPr>
          <w:rStyle w:val="style1151"/>
          <w:rFonts w:ascii="Tahoma" w:hAnsi="Tahoma" w:cs="Tahoma"/>
          <w:sz w:val="22"/>
          <w:szCs w:val="22"/>
        </w:rPr>
        <w:t>.</w:t>
      </w:r>
    </w:p>
    <w:p w:rsidR="007B6CA4" w:rsidRPr="007B6CA4" w:rsidRDefault="007B6CA4" w:rsidP="007B6CA4">
      <w:pPr>
        <w:spacing w:before="100" w:beforeAutospacing="1" w:after="100" w:afterAutospacing="1" w:line="360" w:lineRule="auto"/>
        <w:jc w:val="both"/>
        <w:rPr>
          <w:rFonts w:ascii="Tahoma" w:hAnsi="Tahoma" w:cs="Tahoma"/>
          <w:bCs/>
        </w:rPr>
      </w:pPr>
      <w:r w:rsidRPr="007B6CA4">
        <w:rPr>
          <w:rFonts w:ascii="Tahoma" w:hAnsi="Tahoma" w:cs="Tahoma"/>
          <w:b/>
        </w:rPr>
        <w:t>Art. 8º</w:t>
      </w:r>
      <w:r w:rsidRPr="007B6CA4">
        <w:rPr>
          <w:rFonts w:ascii="Tahoma" w:hAnsi="Tahoma" w:cs="Tahoma"/>
        </w:rPr>
        <w:t xml:space="preserve"> - Esta Lei entrará em vigor na data de sua publicação, revogadas as disposições em contrário.</w:t>
      </w:r>
    </w:p>
    <w:p w:rsidR="0001608E" w:rsidRDefault="0001608E" w:rsidP="00E634F6">
      <w:pPr>
        <w:pStyle w:val="NormalWeb"/>
        <w:shd w:val="clear" w:color="auto" w:fill="FFFFFF"/>
        <w:spacing w:before="0" w:beforeAutospacing="0" w:after="0" w:afterAutospacing="0" w:line="360" w:lineRule="auto"/>
        <w:jc w:val="center"/>
        <w:rPr>
          <w:rFonts w:ascii="Tahoma" w:hAnsi="Tahoma" w:cs="Tahoma"/>
          <w:b/>
          <w:color w:val="333333"/>
          <w:sz w:val="22"/>
          <w:szCs w:val="22"/>
        </w:rPr>
      </w:pPr>
    </w:p>
    <w:p w:rsidR="004F0AF2" w:rsidRDefault="00502CF6" w:rsidP="00E634F6">
      <w:pPr>
        <w:pStyle w:val="NormalWeb"/>
        <w:shd w:val="clear" w:color="auto" w:fill="FFFFFF"/>
        <w:spacing w:before="0" w:beforeAutospacing="0" w:after="0" w:afterAutospacing="0" w:line="360" w:lineRule="auto"/>
        <w:jc w:val="center"/>
        <w:rPr>
          <w:rFonts w:ascii="Tahoma" w:hAnsi="Tahoma" w:cs="Tahoma"/>
          <w:b/>
          <w:color w:val="333333"/>
          <w:sz w:val="22"/>
          <w:szCs w:val="22"/>
        </w:rPr>
      </w:pPr>
      <w:r>
        <w:rPr>
          <w:rFonts w:ascii="Tahoma" w:hAnsi="Tahoma" w:cs="Tahoma"/>
          <w:b/>
          <w:color w:val="333333"/>
          <w:sz w:val="22"/>
          <w:szCs w:val="22"/>
        </w:rPr>
        <w:t>J</w:t>
      </w:r>
      <w:r w:rsidR="004F0AF2" w:rsidRPr="00CB75E9">
        <w:rPr>
          <w:rFonts w:ascii="Tahoma" w:hAnsi="Tahoma" w:cs="Tahoma"/>
          <w:b/>
          <w:color w:val="333333"/>
          <w:sz w:val="22"/>
          <w:szCs w:val="22"/>
        </w:rPr>
        <w:t>USTIFICATIVA</w:t>
      </w:r>
    </w:p>
    <w:p w:rsidR="000A5618" w:rsidRPr="000A5618" w:rsidRDefault="000A5618" w:rsidP="000A5618">
      <w:pPr>
        <w:pStyle w:val="NormalWeb"/>
        <w:keepLines/>
        <w:spacing w:line="360" w:lineRule="auto"/>
        <w:jc w:val="both"/>
        <w:rPr>
          <w:rFonts w:ascii="Tahoma" w:hAnsi="Tahoma" w:cs="Tahoma"/>
          <w:sz w:val="22"/>
          <w:szCs w:val="22"/>
        </w:rPr>
      </w:pPr>
      <w:r w:rsidRPr="000A5618">
        <w:rPr>
          <w:rFonts w:ascii="Tahoma" w:hAnsi="Tahoma" w:cs="Tahoma"/>
          <w:sz w:val="22"/>
          <w:szCs w:val="22"/>
        </w:rPr>
        <w:t>A Constituição Brasileira estabelece que: “são direitos sociais a educação, a saúde, o trabalho, a moradia, o lazer, a segurança, a previdência social, a proteção à maternidade e à infância e a assistência aos desamparados”, determinando ainda em seu art.23 que é competência comum da União, dos Estados, do Distrito Federal e dos Municípios</w:t>
      </w:r>
      <w:bookmarkStart w:id="0" w:name="23II"/>
      <w:bookmarkEnd w:id="0"/>
      <w:r w:rsidRPr="000A5618">
        <w:rPr>
          <w:rFonts w:ascii="Tahoma" w:hAnsi="Tahoma" w:cs="Tahoma"/>
          <w:sz w:val="22"/>
          <w:szCs w:val="22"/>
        </w:rPr>
        <w:t xml:space="preserve">, cuidar da saúde e assistência pública, da proteção e garantia das pessoas com deficiência. </w:t>
      </w:r>
    </w:p>
    <w:p w:rsidR="000A5618" w:rsidRPr="000A5618" w:rsidRDefault="000A5618" w:rsidP="000A5618">
      <w:pPr>
        <w:pStyle w:val="NormalWeb"/>
        <w:keepLines/>
        <w:spacing w:line="360" w:lineRule="auto"/>
        <w:jc w:val="both"/>
        <w:rPr>
          <w:rFonts w:ascii="Tahoma" w:hAnsi="Tahoma" w:cs="Tahoma"/>
          <w:sz w:val="22"/>
          <w:szCs w:val="22"/>
        </w:rPr>
      </w:pPr>
      <w:r w:rsidRPr="000A5618">
        <w:rPr>
          <w:rFonts w:ascii="Tahoma" w:hAnsi="Tahoma" w:cs="Tahoma"/>
          <w:sz w:val="22"/>
          <w:szCs w:val="22"/>
        </w:rPr>
        <w:t>A Convenção sobre os Direitos das Pessoas com Deficiênc</w:t>
      </w:r>
      <w:r w:rsidR="001A2A66">
        <w:rPr>
          <w:rFonts w:ascii="Tahoma" w:hAnsi="Tahoma" w:cs="Tahoma"/>
          <w:sz w:val="22"/>
          <w:szCs w:val="22"/>
        </w:rPr>
        <w:t>ia, re</w:t>
      </w:r>
      <w:bookmarkStart w:id="1" w:name="_GoBack"/>
      <w:bookmarkEnd w:id="1"/>
      <w:r w:rsidRPr="000A5618">
        <w:rPr>
          <w:rFonts w:ascii="Tahoma" w:hAnsi="Tahoma" w:cs="Tahoma"/>
          <w:sz w:val="22"/>
          <w:szCs w:val="22"/>
        </w:rPr>
        <w:t xml:space="preserve">provada pelo Congresso Nacional com força de Emenda Constitucional, estabelece em seu artigo 11 que: “Em conformidade com suas obrigações decorrentes do Direito Internacional, inclusive do Direito Humanitário Internacional e do Direito Internacional relativos aos direitos humanos, os Estados Partes deverão tomar todas as medidas necessárias para assegurar a proteção e a segurança da pessoa com deficiência que se encontrar em situações de risco, inclusive situações de conflitos armados, emergências humanitárias e ocorrência de desastres naturais”. </w:t>
      </w:r>
    </w:p>
    <w:p w:rsidR="000A5618" w:rsidRPr="000A5618" w:rsidRDefault="000A5618" w:rsidP="000A5618">
      <w:pPr>
        <w:pStyle w:val="NormalWeb"/>
        <w:keepLines/>
        <w:spacing w:line="360" w:lineRule="auto"/>
        <w:jc w:val="both"/>
        <w:rPr>
          <w:rFonts w:ascii="Tahoma" w:hAnsi="Tahoma" w:cs="Tahoma"/>
          <w:sz w:val="22"/>
          <w:szCs w:val="22"/>
        </w:rPr>
      </w:pPr>
      <w:r w:rsidRPr="000A5618">
        <w:rPr>
          <w:rFonts w:ascii="Tahoma" w:hAnsi="Tahoma" w:cs="Tahoma"/>
          <w:sz w:val="22"/>
          <w:szCs w:val="22"/>
        </w:rPr>
        <w:t>Apesar de a legislação estabelecer condições básicas de prevenção e combate de incêndios ou situações de pânico, tais como desastres naturais, acidentes coletivos, ações criminosas e outros eventos, nada de específico tem sido determinado para garantir especificamente procedimentos para o resgate em edificações das pessoas com deficiência ou com mobilidade reduzida.</w:t>
      </w:r>
    </w:p>
    <w:p w:rsidR="000A5618" w:rsidRPr="000A5618" w:rsidRDefault="000A5618" w:rsidP="000A5618">
      <w:pPr>
        <w:pStyle w:val="NormalWeb"/>
        <w:keepLines/>
        <w:spacing w:line="360" w:lineRule="auto"/>
        <w:jc w:val="both"/>
        <w:rPr>
          <w:rFonts w:ascii="Tahoma" w:hAnsi="Tahoma" w:cs="Tahoma"/>
          <w:sz w:val="22"/>
          <w:szCs w:val="22"/>
        </w:rPr>
      </w:pPr>
      <w:r w:rsidRPr="000A5618">
        <w:rPr>
          <w:rFonts w:ascii="Tahoma" w:hAnsi="Tahoma" w:cs="Tahoma"/>
          <w:sz w:val="22"/>
          <w:szCs w:val="22"/>
        </w:rPr>
        <w:t xml:space="preserve">Para que planos efetivos sejam desenvolvidos no sentido de garantir a segurança de pessoas ou com dificuldade de locomoção, em momentos de desastre, é fundamental que haja uma determinação por parte do Poder Público, deixando estabelecido que os diversos tipos de edificações como instalações do governo, restaurantes, hotéis, escolas, hospitais, universidades, prédios de apartamentos, teatros, cinemas, fábricas, escritórios, bancos e outros ambientes onde as pessoas se aglomeram, devem possuir equipamentos devidamente testados e eficientes para salvamento das pessoas com maior limitação, devido a doenças, idade, deficiência física, gravidez adiantada e outras situações que possam demandar medidas especiais. </w:t>
      </w:r>
    </w:p>
    <w:p w:rsidR="000A5618" w:rsidRPr="000A5618" w:rsidRDefault="000A5618" w:rsidP="000A5618">
      <w:pPr>
        <w:pStyle w:val="NormalWeb"/>
        <w:keepLines/>
        <w:spacing w:line="360" w:lineRule="auto"/>
        <w:jc w:val="both"/>
        <w:rPr>
          <w:rFonts w:ascii="Tahoma" w:hAnsi="Tahoma" w:cs="Tahoma"/>
          <w:sz w:val="22"/>
          <w:szCs w:val="22"/>
        </w:rPr>
      </w:pPr>
      <w:r w:rsidRPr="000A5618">
        <w:rPr>
          <w:rFonts w:ascii="Tahoma" w:hAnsi="Tahoma" w:cs="Tahoma"/>
          <w:sz w:val="22"/>
          <w:szCs w:val="22"/>
        </w:rPr>
        <w:lastRenderedPageBreak/>
        <w:t xml:space="preserve">Muito embora tais medidas não resolvam todos os casos de emergência em incêndios ou situações sérias de risco, um número maior de vítimas que utilizam cadeiras de rodas ou tenha alguma dificuldade de locomoção, terá suas vidas preservadas. </w:t>
      </w:r>
    </w:p>
    <w:sectPr w:rsidR="000A5618" w:rsidRPr="000A5618" w:rsidSect="005A521F">
      <w:pgSz w:w="11906" w:h="16838"/>
      <w:pgMar w:top="1134" w:right="907"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84ADB7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2E703A1B"/>
    <w:multiLevelType w:val="hybridMultilevel"/>
    <w:tmpl w:val="581207B6"/>
    <w:lvl w:ilvl="0" w:tplc="53AA0BD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A7274D1"/>
    <w:multiLevelType w:val="hybridMultilevel"/>
    <w:tmpl w:val="F40C34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591"/>
    <w:rsid w:val="0001608E"/>
    <w:rsid w:val="00064726"/>
    <w:rsid w:val="000A5618"/>
    <w:rsid w:val="00180747"/>
    <w:rsid w:val="00190682"/>
    <w:rsid w:val="001A2A66"/>
    <w:rsid w:val="001B5930"/>
    <w:rsid w:val="002537B9"/>
    <w:rsid w:val="00266449"/>
    <w:rsid w:val="00281373"/>
    <w:rsid w:val="00284FC4"/>
    <w:rsid w:val="002A62EF"/>
    <w:rsid w:val="002B4618"/>
    <w:rsid w:val="00311B06"/>
    <w:rsid w:val="0031262B"/>
    <w:rsid w:val="00324721"/>
    <w:rsid w:val="003470D6"/>
    <w:rsid w:val="003B7591"/>
    <w:rsid w:val="004055EA"/>
    <w:rsid w:val="00437636"/>
    <w:rsid w:val="004F0AF2"/>
    <w:rsid w:val="004F2732"/>
    <w:rsid w:val="00502CF6"/>
    <w:rsid w:val="00506760"/>
    <w:rsid w:val="00547A44"/>
    <w:rsid w:val="005A521F"/>
    <w:rsid w:val="005B5297"/>
    <w:rsid w:val="006D18D0"/>
    <w:rsid w:val="006F309F"/>
    <w:rsid w:val="007936D7"/>
    <w:rsid w:val="00797046"/>
    <w:rsid w:val="007A2C6D"/>
    <w:rsid w:val="007A76DA"/>
    <w:rsid w:val="007B6CA4"/>
    <w:rsid w:val="00814019"/>
    <w:rsid w:val="00857B48"/>
    <w:rsid w:val="00923FBA"/>
    <w:rsid w:val="009A2F0F"/>
    <w:rsid w:val="009E67D5"/>
    <w:rsid w:val="00A049CD"/>
    <w:rsid w:val="00A27EB7"/>
    <w:rsid w:val="00A5142A"/>
    <w:rsid w:val="00A554C4"/>
    <w:rsid w:val="00AC79F2"/>
    <w:rsid w:val="00AF447D"/>
    <w:rsid w:val="00B20204"/>
    <w:rsid w:val="00B36708"/>
    <w:rsid w:val="00B431F4"/>
    <w:rsid w:val="00B719A6"/>
    <w:rsid w:val="00C4677F"/>
    <w:rsid w:val="00C84BD9"/>
    <w:rsid w:val="00C965C6"/>
    <w:rsid w:val="00CB75E9"/>
    <w:rsid w:val="00D0595C"/>
    <w:rsid w:val="00D64FC3"/>
    <w:rsid w:val="00D82859"/>
    <w:rsid w:val="00E634F6"/>
    <w:rsid w:val="00E67D4E"/>
    <w:rsid w:val="00EF528B"/>
    <w:rsid w:val="00F965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F965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B759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B7591"/>
    <w:rPr>
      <w:b/>
      <w:bCs/>
    </w:rPr>
  </w:style>
  <w:style w:type="character" w:customStyle="1" w:styleId="Ttulo1Char">
    <w:name w:val="Título 1 Char"/>
    <w:basedOn w:val="Fontepargpadro"/>
    <w:link w:val="Ttulo1"/>
    <w:uiPriority w:val="9"/>
    <w:rsid w:val="00F96586"/>
    <w:rPr>
      <w:rFonts w:ascii="Times New Roman" w:eastAsia="Times New Roman" w:hAnsi="Times New Roman" w:cs="Times New Roman"/>
      <w:b/>
      <w:bCs/>
      <w:kern w:val="36"/>
      <w:sz w:val="48"/>
      <w:szCs w:val="48"/>
      <w:lang w:eastAsia="pt-BR"/>
    </w:rPr>
  </w:style>
  <w:style w:type="character" w:customStyle="1" w:styleId="no-conversion">
    <w:name w:val="no-conversion"/>
    <w:basedOn w:val="Fontepargpadro"/>
    <w:rsid w:val="0031262B"/>
  </w:style>
  <w:style w:type="character" w:styleId="Hyperlink">
    <w:name w:val="Hyperlink"/>
    <w:basedOn w:val="Fontepargpadro"/>
    <w:uiPriority w:val="99"/>
    <w:semiHidden/>
    <w:unhideWhenUsed/>
    <w:rsid w:val="0031262B"/>
    <w:rPr>
      <w:color w:val="0000FF"/>
      <w:u w:val="single"/>
    </w:rPr>
  </w:style>
  <w:style w:type="paragraph" w:styleId="Cabealho">
    <w:name w:val="header"/>
    <w:basedOn w:val="Normal"/>
    <w:link w:val="CabealhoChar"/>
    <w:rsid w:val="00A049CD"/>
    <w:pPr>
      <w:widowControl w:val="0"/>
      <w:tabs>
        <w:tab w:val="center" w:pos="4252"/>
        <w:tab w:val="right" w:pos="8504"/>
      </w:tab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CabealhoChar">
    <w:name w:val="Cabeçalho Char"/>
    <w:basedOn w:val="Fontepargpadro"/>
    <w:link w:val="Cabealho"/>
    <w:rsid w:val="00A049CD"/>
    <w:rPr>
      <w:rFonts w:ascii="Times New Roman" w:eastAsia="Lucida Sans Unicode" w:hAnsi="Times New Roman" w:cs="Times New Roman"/>
      <w:kern w:val="1"/>
      <w:sz w:val="24"/>
      <w:szCs w:val="24"/>
      <w:lang w:eastAsia="ar-SA"/>
    </w:rPr>
  </w:style>
  <w:style w:type="paragraph" w:styleId="Textodebalo">
    <w:name w:val="Balloon Text"/>
    <w:basedOn w:val="Normal"/>
    <w:link w:val="TextodebaloChar"/>
    <w:uiPriority w:val="99"/>
    <w:semiHidden/>
    <w:unhideWhenUsed/>
    <w:rsid w:val="00A049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49CD"/>
    <w:rPr>
      <w:rFonts w:ascii="Tahoma" w:hAnsi="Tahoma" w:cs="Tahoma"/>
      <w:sz w:val="16"/>
      <w:szCs w:val="16"/>
    </w:rPr>
  </w:style>
  <w:style w:type="paragraph" w:styleId="Commarcadores">
    <w:name w:val="List Bullet"/>
    <w:basedOn w:val="Normal"/>
    <w:rsid w:val="007B6CA4"/>
    <w:pPr>
      <w:numPr>
        <w:numId w:val="1"/>
      </w:numPr>
      <w:spacing w:after="0" w:line="240" w:lineRule="auto"/>
    </w:pPr>
    <w:rPr>
      <w:rFonts w:ascii="Times New Roman" w:eastAsia="Times New Roman" w:hAnsi="Times New Roman" w:cs="Times New Roman"/>
      <w:sz w:val="24"/>
      <w:szCs w:val="24"/>
      <w:lang w:eastAsia="pt-BR"/>
    </w:rPr>
  </w:style>
  <w:style w:type="character" w:customStyle="1" w:styleId="style1151">
    <w:name w:val="style1151"/>
    <w:rsid w:val="007B6CA4"/>
    <w:rPr>
      <w:rFonts w:ascii="Arial" w:hAnsi="Arial" w:cs="Arial" w:hint="default"/>
      <w:color w:val="000000"/>
      <w:sz w:val="18"/>
      <w:szCs w:val="18"/>
    </w:rPr>
  </w:style>
  <w:style w:type="paragraph" w:styleId="Ttulo">
    <w:name w:val="Title"/>
    <w:basedOn w:val="Normal"/>
    <w:next w:val="Normal"/>
    <w:link w:val="TtuloChar"/>
    <w:qFormat/>
    <w:rsid w:val="007B6CA4"/>
    <w:pPr>
      <w:spacing w:before="240" w:after="60" w:line="240" w:lineRule="auto"/>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7B6CA4"/>
    <w:rPr>
      <w:rFonts w:ascii="Cambria" w:eastAsia="Times New Roman" w:hAnsi="Cambria" w:cs="Times New Roman"/>
      <w:b/>
      <w:bCs/>
      <w:kern w:val="28"/>
      <w:sz w:val="32"/>
      <w:szCs w:val="32"/>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F965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B759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B7591"/>
    <w:rPr>
      <w:b/>
      <w:bCs/>
    </w:rPr>
  </w:style>
  <w:style w:type="character" w:customStyle="1" w:styleId="Ttulo1Char">
    <w:name w:val="Título 1 Char"/>
    <w:basedOn w:val="Fontepargpadro"/>
    <w:link w:val="Ttulo1"/>
    <w:uiPriority w:val="9"/>
    <w:rsid w:val="00F96586"/>
    <w:rPr>
      <w:rFonts w:ascii="Times New Roman" w:eastAsia="Times New Roman" w:hAnsi="Times New Roman" w:cs="Times New Roman"/>
      <w:b/>
      <w:bCs/>
      <w:kern w:val="36"/>
      <w:sz w:val="48"/>
      <w:szCs w:val="48"/>
      <w:lang w:eastAsia="pt-BR"/>
    </w:rPr>
  </w:style>
  <w:style w:type="character" w:customStyle="1" w:styleId="no-conversion">
    <w:name w:val="no-conversion"/>
    <w:basedOn w:val="Fontepargpadro"/>
    <w:rsid w:val="0031262B"/>
  </w:style>
  <w:style w:type="character" w:styleId="Hyperlink">
    <w:name w:val="Hyperlink"/>
    <w:basedOn w:val="Fontepargpadro"/>
    <w:uiPriority w:val="99"/>
    <w:semiHidden/>
    <w:unhideWhenUsed/>
    <w:rsid w:val="0031262B"/>
    <w:rPr>
      <w:color w:val="0000FF"/>
      <w:u w:val="single"/>
    </w:rPr>
  </w:style>
  <w:style w:type="paragraph" w:styleId="Cabealho">
    <w:name w:val="header"/>
    <w:basedOn w:val="Normal"/>
    <w:link w:val="CabealhoChar"/>
    <w:rsid w:val="00A049CD"/>
    <w:pPr>
      <w:widowControl w:val="0"/>
      <w:tabs>
        <w:tab w:val="center" w:pos="4252"/>
        <w:tab w:val="right" w:pos="8504"/>
      </w:tab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CabealhoChar">
    <w:name w:val="Cabeçalho Char"/>
    <w:basedOn w:val="Fontepargpadro"/>
    <w:link w:val="Cabealho"/>
    <w:rsid w:val="00A049CD"/>
    <w:rPr>
      <w:rFonts w:ascii="Times New Roman" w:eastAsia="Lucida Sans Unicode" w:hAnsi="Times New Roman" w:cs="Times New Roman"/>
      <w:kern w:val="1"/>
      <w:sz w:val="24"/>
      <w:szCs w:val="24"/>
      <w:lang w:eastAsia="ar-SA"/>
    </w:rPr>
  </w:style>
  <w:style w:type="paragraph" w:styleId="Textodebalo">
    <w:name w:val="Balloon Text"/>
    <w:basedOn w:val="Normal"/>
    <w:link w:val="TextodebaloChar"/>
    <w:uiPriority w:val="99"/>
    <w:semiHidden/>
    <w:unhideWhenUsed/>
    <w:rsid w:val="00A049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49CD"/>
    <w:rPr>
      <w:rFonts w:ascii="Tahoma" w:hAnsi="Tahoma" w:cs="Tahoma"/>
      <w:sz w:val="16"/>
      <w:szCs w:val="16"/>
    </w:rPr>
  </w:style>
  <w:style w:type="paragraph" w:styleId="Commarcadores">
    <w:name w:val="List Bullet"/>
    <w:basedOn w:val="Normal"/>
    <w:rsid w:val="007B6CA4"/>
    <w:pPr>
      <w:numPr>
        <w:numId w:val="1"/>
      </w:numPr>
      <w:spacing w:after="0" w:line="240" w:lineRule="auto"/>
    </w:pPr>
    <w:rPr>
      <w:rFonts w:ascii="Times New Roman" w:eastAsia="Times New Roman" w:hAnsi="Times New Roman" w:cs="Times New Roman"/>
      <w:sz w:val="24"/>
      <w:szCs w:val="24"/>
      <w:lang w:eastAsia="pt-BR"/>
    </w:rPr>
  </w:style>
  <w:style w:type="character" w:customStyle="1" w:styleId="style1151">
    <w:name w:val="style1151"/>
    <w:rsid w:val="007B6CA4"/>
    <w:rPr>
      <w:rFonts w:ascii="Arial" w:hAnsi="Arial" w:cs="Arial" w:hint="default"/>
      <w:color w:val="000000"/>
      <w:sz w:val="18"/>
      <w:szCs w:val="18"/>
    </w:rPr>
  </w:style>
  <w:style w:type="paragraph" w:styleId="Ttulo">
    <w:name w:val="Title"/>
    <w:basedOn w:val="Normal"/>
    <w:next w:val="Normal"/>
    <w:link w:val="TtuloChar"/>
    <w:qFormat/>
    <w:rsid w:val="007B6CA4"/>
    <w:pPr>
      <w:spacing w:before="240" w:after="60" w:line="240" w:lineRule="auto"/>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7B6CA4"/>
    <w:rPr>
      <w:rFonts w:ascii="Cambria" w:eastAsia="Times New Roman" w:hAnsi="Cambria" w:cs="Times New Roman"/>
      <w:b/>
      <w:bCs/>
      <w:kern w:val="28"/>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815386">
      <w:bodyDiv w:val="1"/>
      <w:marLeft w:val="0"/>
      <w:marRight w:val="0"/>
      <w:marTop w:val="0"/>
      <w:marBottom w:val="0"/>
      <w:divBdr>
        <w:top w:val="none" w:sz="0" w:space="0" w:color="auto"/>
        <w:left w:val="none" w:sz="0" w:space="0" w:color="auto"/>
        <w:bottom w:val="none" w:sz="0" w:space="0" w:color="auto"/>
        <w:right w:val="none" w:sz="0" w:space="0" w:color="auto"/>
      </w:divBdr>
    </w:div>
    <w:div w:id="444886095">
      <w:bodyDiv w:val="1"/>
      <w:marLeft w:val="0"/>
      <w:marRight w:val="0"/>
      <w:marTop w:val="0"/>
      <w:marBottom w:val="0"/>
      <w:divBdr>
        <w:top w:val="none" w:sz="0" w:space="0" w:color="auto"/>
        <w:left w:val="none" w:sz="0" w:space="0" w:color="auto"/>
        <w:bottom w:val="none" w:sz="0" w:space="0" w:color="auto"/>
        <w:right w:val="none" w:sz="0" w:space="0" w:color="auto"/>
      </w:divBdr>
    </w:div>
    <w:div w:id="716203966">
      <w:bodyDiv w:val="1"/>
      <w:marLeft w:val="0"/>
      <w:marRight w:val="0"/>
      <w:marTop w:val="0"/>
      <w:marBottom w:val="0"/>
      <w:divBdr>
        <w:top w:val="none" w:sz="0" w:space="0" w:color="auto"/>
        <w:left w:val="none" w:sz="0" w:space="0" w:color="auto"/>
        <w:bottom w:val="none" w:sz="0" w:space="0" w:color="auto"/>
        <w:right w:val="none" w:sz="0" w:space="0" w:color="auto"/>
      </w:divBdr>
    </w:div>
    <w:div w:id="746852132">
      <w:bodyDiv w:val="1"/>
      <w:marLeft w:val="0"/>
      <w:marRight w:val="0"/>
      <w:marTop w:val="0"/>
      <w:marBottom w:val="0"/>
      <w:divBdr>
        <w:top w:val="none" w:sz="0" w:space="0" w:color="auto"/>
        <w:left w:val="none" w:sz="0" w:space="0" w:color="auto"/>
        <w:bottom w:val="none" w:sz="0" w:space="0" w:color="auto"/>
        <w:right w:val="none" w:sz="0" w:space="0" w:color="auto"/>
      </w:divBdr>
    </w:div>
    <w:div w:id="1112822516">
      <w:bodyDiv w:val="1"/>
      <w:marLeft w:val="0"/>
      <w:marRight w:val="0"/>
      <w:marTop w:val="0"/>
      <w:marBottom w:val="0"/>
      <w:divBdr>
        <w:top w:val="none" w:sz="0" w:space="0" w:color="auto"/>
        <w:left w:val="none" w:sz="0" w:space="0" w:color="auto"/>
        <w:bottom w:val="none" w:sz="0" w:space="0" w:color="auto"/>
        <w:right w:val="none" w:sz="0" w:space="0" w:color="auto"/>
      </w:divBdr>
    </w:div>
    <w:div w:id="1279752752">
      <w:bodyDiv w:val="1"/>
      <w:marLeft w:val="0"/>
      <w:marRight w:val="0"/>
      <w:marTop w:val="0"/>
      <w:marBottom w:val="0"/>
      <w:divBdr>
        <w:top w:val="none" w:sz="0" w:space="0" w:color="auto"/>
        <w:left w:val="none" w:sz="0" w:space="0" w:color="auto"/>
        <w:bottom w:val="none" w:sz="0" w:space="0" w:color="auto"/>
        <w:right w:val="none" w:sz="0" w:space="0" w:color="auto"/>
      </w:divBdr>
    </w:div>
    <w:div w:id="1683429792">
      <w:bodyDiv w:val="1"/>
      <w:marLeft w:val="0"/>
      <w:marRight w:val="0"/>
      <w:marTop w:val="0"/>
      <w:marBottom w:val="0"/>
      <w:divBdr>
        <w:top w:val="none" w:sz="0" w:space="0" w:color="auto"/>
        <w:left w:val="none" w:sz="0" w:space="0" w:color="auto"/>
        <w:bottom w:val="none" w:sz="0" w:space="0" w:color="auto"/>
        <w:right w:val="none" w:sz="0" w:space="0" w:color="auto"/>
      </w:divBdr>
    </w:div>
    <w:div w:id="189418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919</Words>
  <Characters>4964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dc:creator>
  <cp:lastModifiedBy>pc</cp:lastModifiedBy>
  <cp:revision>2</cp:revision>
  <dcterms:created xsi:type="dcterms:W3CDTF">2019-05-30T19:51:00Z</dcterms:created>
  <dcterms:modified xsi:type="dcterms:W3CDTF">2019-05-30T19:51:00Z</dcterms:modified>
</cp:coreProperties>
</file>