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CARLOS OTÁVIO DIAS VAZ - CASOTA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00065/2019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Dispõe sobre a implantação de câmeras de segurança e sistema de monitoramento nas creches e escolas públicas do Município de Niterói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Fica instituída a obrigatoriedade de instalação, operação e manutenção de câmeras de filmagem nas creches e escolas públicas localizadas no Município de Niterói.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A instalação do equipamento considerará proporcionalmente o número de alunos e funcionários existentes na unidade escolar, bem como as suas características territoriais e dimensões, respeitando as normas técnicas exigidas pela Associação Brasileira de Normas Técnicas - ABNT.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As Câmeras mencionadas nesta Lei estarão dispostas na(s) entrada(s) e saída(s) do estabelecimento, pátios de convivência comum, áreas de circulação e dentro das salas de aula.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O equipamento apresentará recurso de gravação, devendo as imagens obtidas serem armazenadas por um período mínimo de seis meses.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O Poder Público Municipal implementará, gradativamente, conforme regulamentação por decreto, o monitoramento por câmeras de segurança em todas as creches e escolas públicas, até o último dia do atual exercício.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4º As despesas decorrentes da aplicação desta Lei correrão por conta de dotações orçamentárias do Município, suplementadas, se necessário.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5º Esta Lei entra em vigor após decorridos 90 (noventa) dias de sua publicação oficial.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crescente aumento da violência e a sensação de insegurança têm contribuído para a proliferação da instalação de sistemas de monitoramento eletrônico das ações humanas, através de câmeras de vigilância.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Os recentes e ocasionais ataques a escolas, casos de violência entre alunos, bem como contra professores e diretores de escolas públicas pelo país, dentro e fora das salas de aula, demandam por resposta legislativa, não somente quanto à necessidade de maior zelo do Poder Público em relação à presença de guardas e policiamento interno e externo.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Por todo o Brasil, o monitoramento eletrônico é uma realidade. Há espaços públicos e privados sendo monitorados vinte e quatro horas por dia. Inicialmente as câmeras de vigilância foram sendo implantadas em espaços privados como Shopping Centers, estacionamentos, supermercados. Hoje, verifica-se uma generalizada utilização do monitoramento eletrônico com câmeras espalhadas por espaços públicos e privados, internos e externos, pequenos e grandes.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Atualmente, diversos estados e municípios já possuem legislação ou projetos de lei em tramitação com o objetivo de disciplinar o monitoramento de escolas e demais espaços por câmeras de vídeo.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Todavia, oportuno salientar que não é possível a instalação de câmeras nos locais de reserva de privacidade, como, por exemplo, em banheiros, ambientes de uso privativo dos trabalhadores, vestiários, dentre outros. Nesses espaços, há que se preservar a intimidade sob pena de violação de seus direitos fundamentais.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Notadamente, a colocação de câmeras em locais privativos e/ou para fins inapropriados contraria os artigos 17, 18 e 232, do Estatuto da Criança e do Adolescente (Lei nº 8.069, de 13 de julho de 1990) e o artigo 5º, inciso X, da Constituição Federal, o que não ocorre no caso em questão.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No que diz respeito ao Estatuto da Criança e do Adolescente, oportuna a transcrição de parte do Parecer nº 15.426/2010, da lavra da Procuradora do Estado do Rio Grande do Sul, Drª Andréa Trachtenberg Campos, in verbis: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instalação dos referidos equipamentos de vigilância eletrônica em determinados locais das escolas, com a finalidade de diminuir a violência e o vandalismo, é legítima, desde que não ocorra a divulgação dessas imagens e sejam afixados comunicados de sua existência em lugares de fácil visualização.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 monitoramento ambiental por câmeras de vigilância, cujo conteúdo registrado seja resguardado pelo armazenamento para exibição restrita a casos de apuração de ilícitos não tem o condão e nem poderiam ter o intuito de interferir no trabalho do professor em sala de aula, mas tão somente de combater episódios de violência física e verbal no ambiente escolar, garantindo a segurança dos alunos, professores, funcionários, além da preservação patrimonial.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De fato, casos de violência e demais tipos de violação estão ocorrendo tanto dentro das salas de aula, quanto nos corredores e áreas externas das escolas, indiscriminadamente.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Nesse sentido, o Órgão Especial do Tribunal de Justiça de São Paulo julgou improcedente a Ação Direta e Inconstitucionalidade, nº 2113734-65.2018.8.26.0000, mantendo a validade da Lei nº 12.953/2018, do Município de São José do Rio Preto, cujo conteúdo, que dispõe sobre a instalação de câmeras de segurança nas creches e escolas públicas municipais, incluindo salas de aula, serve de padrão para a propositura que ora se faz.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Conforme divulgado , “O desembargador Salles Rossi, relator do caso, destacou que as escolas são ‘locais públicos onde serviços prestados também são de natureza e de interesse público’. E completou: ‘Disso decorre que nesses lugares não se têm a prática de atos privados ou particulares (como se faz em uma residência), de modo que o monitoramento por câmeras de vigilância não atinge a intimidade ou privacidade daqueles que ali se encontram’.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Ainda conforme a publicação, “O magistrado também afirmou que o monitoramento por câmeras não implica em exibição desmedida e gratuita da imagem das pessoas, ‘mas apenas o armazenamento, cuja exibição será solicitada apenas em caso específico para se apurar evento certo que exija alguma investigação ou fiscalização. Não há, portanto, o uso indevido das imagens captadas a bel prazer daquele que comanda o banco de dados’”.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Em face do exposto e para que a pretendida proposição de Projeto de Lei possa prosperar, na forma ora apresentada, cumpre-me levar a presente matéria legislativa ao conhecimento e à elevada apreciação de meus distintos pares, aos quais conclamo, nesta oportunidade, dispensarem à mesma o devido apoio para a sua regimental acolhida e merecida aprovação.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21 de Março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CARLOS OTÁVIO DIAS VAZ - CASOTA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