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BD3" w:rsidRDefault="00B50D86" w:rsidP="00B50D86">
      <w:pPr>
        <w:jc w:val="center"/>
        <w:rPr>
          <w:rFonts w:ascii="Tahoma" w:hAnsi="Tahoma"/>
          <w:b/>
          <w:bCs/>
        </w:rPr>
      </w:pPr>
      <w:r>
        <w:rPr>
          <w:rFonts w:ascii="Tahoma" w:hAnsi="Tahoma"/>
          <w:b/>
          <w:bCs/>
        </w:rPr>
        <w:t>Projeto de Lei:     /2019</w:t>
      </w:r>
    </w:p>
    <w:p w:rsidR="00B50D86" w:rsidRPr="00AF097C" w:rsidRDefault="00B50D86" w:rsidP="00B50D86">
      <w:pPr>
        <w:jc w:val="center"/>
        <w:rPr>
          <w:rFonts w:ascii="Tahoma" w:hAnsi="Tahoma"/>
          <w:b/>
          <w:bCs/>
        </w:rPr>
      </w:pPr>
      <w:bookmarkStart w:id="0" w:name="_GoBack"/>
      <w:bookmarkEnd w:id="0"/>
    </w:p>
    <w:p w:rsidR="007E2BD3" w:rsidRDefault="007E2BD3" w:rsidP="007E2BD3">
      <w:pPr>
        <w:tabs>
          <w:tab w:val="left" w:pos="-24383"/>
        </w:tabs>
        <w:ind w:left="4678"/>
        <w:jc w:val="both"/>
        <w:rPr>
          <w:rFonts w:ascii="Tahoma" w:hAnsi="Tahoma" w:cs="Tahoma"/>
          <w:b/>
          <w:bCs/>
          <w:color w:val="000000"/>
        </w:rPr>
      </w:pPr>
    </w:p>
    <w:p w:rsidR="007E2BD3" w:rsidRPr="00694B49" w:rsidRDefault="007E2BD3" w:rsidP="007E2BD3">
      <w:pPr>
        <w:pStyle w:val="Recuodecorpodetexto"/>
        <w:spacing w:before="0" w:beforeAutospacing="0" w:after="0" w:afterAutospacing="0"/>
        <w:ind w:left="4860"/>
        <w:jc w:val="both"/>
        <w:rPr>
          <w:rStyle w:val="nfase"/>
          <w:rFonts w:ascii="Tahoma" w:hAnsi="Tahoma" w:cs="Tahoma"/>
          <w:i w:val="0"/>
          <w:sz w:val="26"/>
          <w:szCs w:val="26"/>
        </w:rPr>
      </w:pPr>
      <w:r w:rsidRPr="00610794">
        <w:rPr>
          <w:rStyle w:val="nfase"/>
          <w:rFonts w:ascii="Tahoma" w:hAnsi="Tahoma" w:cs="Tahoma"/>
          <w:i w:val="0"/>
          <w:sz w:val="26"/>
          <w:szCs w:val="26"/>
        </w:rPr>
        <w:t>Dispõe sobre a criação da Semana Charles Darwin de Ciências, tecnologia e sustentabilidade no Município de Niterói, durante o mês de abril.</w:t>
      </w:r>
    </w:p>
    <w:p w:rsidR="007E2BD3" w:rsidRPr="004C1BAE" w:rsidRDefault="007E2BD3" w:rsidP="007E2BD3">
      <w:pPr>
        <w:tabs>
          <w:tab w:val="left" w:pos="-24383"/>
        </w:tabs>
        <w:ind w:left="3975"/>
        <w:jc w:val="both"/>
        <w:rPr>
          <w:rFonts w:ascii="Tahoma" w:hAnsi="Tahoma" w:cs="Tahoma"/>
          <w:b/>
          <w:bCs/>
          <w:color w:val="000000"/>
          <w:sz w:val="26"/>
          <w:szCs w:val="26"/>
        </w:rPr>
      </w:pPr>
      <w:r w:rsidRPr="004C1BAE">
        <w:rPr>
          <w:rFonts w:ascii="Tahoma" w:hAnsi="Tahoma" w:cs="Tahoma"/>
          <w:b/>
          <w:bCs/>
          <w:color w:val="000000"/>
          <w:sz w:val="26"/>
          <w:szCs w:val="26"/>
        </w:rPr>
        <w:t xml:space="preserve">  </w:t>
      </w:r>
    </w:p>
    <w:p w:rsidR="007E2BD3" w:rsidRDefault="007E2BD3" w:rsidP="007E2BD3">
      <w:pPr>
        <w:pStyle w:val="Recuodecorpodetexto"/>
        <w:jc w:val="both"/>
        <w:rPr>
          <w:rFonts w:ascii="Tahoma" w:hAnsi="Tahoma" w:cs="Tahoma"/>
          <w:color w:val="000000"/>
          <w:sz w:val="26"/>
          <w:szCs w:val="26"/>
        </w:rPr>
      </w:pPr>
    </w:p>
    <w:p w:rsidR="007E2BD3" w:rsidRPr="00610794" w:rsidRDefault="007E2BD3" w:rsidP="007E2BD3">
      <w:pPr>
        <w:pStyle w:val="Recuodecorpodetexto"/>
        <w:jc w:val="both"/>
        <w:rPr>
          <w:rFonts w:ascii="Tahoma" w:hAnsi="Tahoma" w:cs="Tahoma"/>
          <w:color w:val="000000"/>
          <w:sz w:val="26"/>
          <w:szCs w:val="26"/>
        </w:rPr>
      </w:pPr>
      <w:r w:rsidRPr="00610794">
        <w:rPr>
          <w:rFonts w:ascii="Tahoma" w:hAnsi="Tahoma" w:cs="Tahoma"/>
          <w:color w:val="000000"/>
          <w:sz w:val="26"/>
          <w:szCs w:val="26"/>
        </w:rPr>
        <w:t>Art. 1º Será considerada para os devidos fins, a 2ª semana do mês de abril, que compreende o dia 08, para a divulgação e realização de atividades que contribuam para o registro do fato histórico, a promoção da consciência cidadã e ambiental, a realização de feiras/eventos educacionais e tecnológicos, que difundam a ideia da sustentabilidade e preservação do ambiente e da natureza.</w:t>
      </w:r>
    </w:p>
    <w:p w:rsidR="007E2BD3" w:rsidRPr="00610794" w:rsidRDefault="007E2BD3" w:rsidP="007E2BD3">
      <w:pPr>
        <w:pStyle w:val="Recuodecorpodetexto"/>
        <w:jc w:val="both"/>
        <w:rPr>
          <w:rFonts w:ascii="Tahoma" w:hAnsi="Tahoma" w:cs="Tahoma"/>
          <w:color w:val="000000"/>
          <w:sz w:val="26"/>
          <w:szCs w:val="26"/>
        </w:rPr>
      </w:pPr>
      <w:r w:rsidRPr="00610794">
        <w:rPr>
          <w:rFonts w:ascii="Tahoma" w:hAnsi="Tahoma" w:cs="Tahoma"/>
          <w:color w:val="000000"/>
          <w:sz w:val="26"/>
          <w:szCs w:val="26"/>
        </w:rPr>
        <w:t xml:space="preserve">Art. 2º Cabe à Fundação Municipal de Educação junto com a comunidade escolar estabelecer essas atividades pedagogicamente aos ciclos educacionais adequados conforme a faixa etária. </w:t>
      </w:r>
    </w:p>
    <w:p w:rsidR="007E2BD3" w:rsidRPr="00610794" w:rsidRDefault="007E2BD3" w:rsidP="007E2BD3">
      <w:pPr>
        <w:pStyle w:val="Recuodecorpodetexto"/>
        <w:jc w:val="both"/>
        <w:rPr>
          <w:rFonts w:ascii="Tahoma" w:hAnsi="Tahoma" w:cs="Tahoma"/>
          <w:color w:val="000000"/>
          <w:sz w:val="26"/>
          <w:szCs w:val="26"/>
        </w:rPr>
      </w:pPr>
      <w:r w:rsidRPr="00610794">
        <w:rPr>
          <w:rFonts w:ascii="Tahoma" w:hAnsi="Tahoma" w:cs="Tahoma"/>
          <w:color w:val="000000"/>
          <w:sz w:val="26"/>
          <w:szCs w:val="26"/>
        </w:rPr>
        <w:t xml:space="preserve">Art. 3º Compete à secretaria de Cultura fomentar o resgate e a preservação da memória da história local e do Patrimônio Cultural Imaterial da história da região, da fazenda Engenho do Mato e da reforma agrária que deu origem ao bairro e à luta da população pela criação da reserva </w:t>
      </w:r>
      <w:r>
        <w:rPr>
          <w:rFonts w:ascii="Tahoma" w:hAnsi="Tahoma" w:cs="Tahoma"/>
          <w:color w:val="000000"/>
          <w:sz w:val="26"/>
          <w:szCs w:val="26"/>
        </w:rPr>
        <w:t xml:space="preserve">Florestal que hoje o circunda. </w:t>
      </w:r>
    </w:p>
    <w:p w:rsidR="007E2BD3" w:rsidRPr="00610794" w:rsidRDefault="007E2BD3" w:rsidP="007E2BD3">
      <w:pPr>
        <w:pStyle w:val="Recuodecorpodetexto"/>
        <w:ind w:firstLine="992"/>
        <w:jc w:val="both"/>
        <w:rPr>
          <w:rFonts w:ascii="Tahoma" w:hAnsi="Tahoma" w:cs="Tahoma"/>
          <w:color w:val="000000"/>
          <w:sz w:val="26"/>
          <w:szCs w:val="26"/>
        </w:rPr>
      </w:pPr>
      <w:r w:rsidRPr="00610794">
        <w:rPr>
          <w:rFonts w:ascii="Tahoma" w:hAnsi="Tahoma" w:cs="Tahoma"/>
          <w:color w:val="000000"/>
          <w:sz w:val="26"/>
          <w:szCs w:val="26"/>
        </w:rPr>
        <w:t>Parágrafo único.  Tais objetivos poderão ser alcançados por meio de exposições, debates, painéis, oficinas, trilhas e visitas a entidades públicas e privadas, que pela sua natureza ou pela sua responsabilidade corporativa e institucional devam promover tais atividades, que poderão oco</w:t>
      </w:r>
      <w:r>
        <w:rPr>
          <w:rFonts w:ascii="Tahoma" w:hAnsi="Tahoma" w:cs="Tahoma"/>
          <w:color w:val="000000"/>
          <w:sz w:val="26"/>
          <w:szCs w:val="26"/>
        </w:rPr>
        <w:t xml:space="preserve">rrer via parcerias públicas ou </w:t>
      </w:r>
      <w:r w:rsidRPr="00610794">
        <w:rPr>
          <w:rFonts w:ascii="Tahoma" w:hAnsi="Tahoma" w:cs="Tahoma"/>
          <w:color w:val="000000"/>
          <w:sz w:val="26"/>
          <w:szCs w:val="26"/>
        </w:rPr>
        <w:t>privadas, com base nas leis de incentivo à cultura, tanto no nível estadual quanto municipal, neste caso, conforme a Lei nº 3182 de 18/12/2015, que criou o sistema de cultura do município.</w:t>
      </w:r>
    </w:p>
    <w:p w:rsidR="007E2BD3" w:rsidRPr="00610794" w:rsidRDefault="007E2BD3" w:rsidP="007E2BD3">
      <w:pPr>
        <w:pStyle w:val="Recuodecorpodetexto"/>
        <w:jc w:val="both"/>
        <w:rPr>
          <w:rFonts w:ascii="Tahoma" w:hAnsi="Tahoma" w:cs="Tahoma"/>
          <w:color w:val="000000"/>
          <w:sz w:val="26"/>
          <w:szCs w:val="26"/>
        </w:rPr>
      </w:pPr>
      <w:r>
        <w:rPr>
          <w:rFonts w:ascii="Tahoma" w:hAnsi="Tahoma" w:cs="Tahoma"/>
          <w:color w:val="000000"/>
          <w:sz w:val="26"/>
          <w:szCs w:val="26"/>
        </w:rPr>
        <w:lastRenderedPageBreak/>
        <w:t xml:space="preserve">Art. 4º </w:t>
      </w:r>
      <w:r w:rsidRPr="00610794">
        <w:rPr>
          <w:rFonts w:ascii="Tahoma" w:hAnsi="Tahoma" w:cs="Tahoma"/>
          <w:color w:val="000000"/>
          <w:sz w:val="26"/>
          <w:szCs w:val="26"/>
        </w:rPr>
        <w:t xml:space="preserve">É competência da empresa Niterói - Lazer e Turismo S/A, a promoção e criação de um plano de turismo para o polo e sua inclusão no roteiro turístico da cidade, no plano de trilhas do município e nos mapas turísticos existentes. </w:t>
      </w:r>
    </w:p>
    <w:p w:rsidR="007E2BD3" w:rsidRPr="008A6513" w:rsidRDefault="007E2BD3" w:rsidP="007E2BD3">
      <w:pPr>
        <w:pStyle w:val="Recuodecorpodetexto"/>
        <w:jc w:val="both"/>
        <w:rPr>
          <w:rFonts w:ascii="Tahoma" w:hAnsi="Tahoma" w:cs="Tahoma"/>
          <w:color w:val="000000"/>
          <w:sz w:val="26"/>
          <w:szCs w:val="26"/>
        </w:rPr>
      </w:pPr>
      <w:r w:rsidRPr="00610794">
        <w:rPr>
          <w:rFonts w:ascii="Tahoma" w:hAnsi="Tahoma" w:cs="Tahoma"/>
          <w:color w:val="000000"/>
          <w:sz w:val="26"/>
          <w:szCs w:val="26"/>
        </w:rPr>
        <w:t xml:space="preserve">Art. 5º Esta lei entra em vigor na data de sua publicação, revogadas as disposições em contrário. </w:t>
      </w:r>
      <w:r>
        <w:rPr>
          <w:rFonts w:ascii="Tahoma" w:hAnsi="Tahoma" w:cs="Tahoma"/>
          <w:color w:val="000000"/>
          <w:sz w:val="26"/>
          <w:szCs w:val="26"/>
        </w:rPr>
        <w:t xml:space="preserve"> </w:t>
      </w:r>
    </w:p>
    <w:p w:rsidR="007E2BD3" w:rsidRPr="004C1BAE" w:rsidRDefault="007E2BD3" w:rsidP="007E2BD3">
      <w:pPr>
        <w:pStyle w:val="Recuodecorpodetexto"/>
        <w:spacing w:before="0" w:beforeAutospacing="0" w:after="0" w:afterAutospacing="0"/>
        <w:ind w:firstLine="992"/>
        <w:jc w:val="right"/>
        <w:rPr>
          <w:rStyle w:val="nfase"/>
          <w:rFonts w:ascii="Tahoma" w:hAnsi="Tahoma" w:cs="Tahoma"/>
          <w:i w:val="0"/>
          <w:sz w:val="26"/>
          <w:szCs w:val="26"/>
        </w:rPr>
      </w:pPr>
      <w:r w:rsidRPr="008A6513">
        <w:rPr>
          <w:rFonts w:ascii="Tahoma" w:hAnsi="Tahoma" w:cs="Tahoma"/>
          <w:color w:val="000000"/>
          <w:sz w:val="26"/>
          <w:szCs w:val="26"/>
        </w:rPr>
        <w:t xml:space="preserve">Niterói, </w:t>
      </w:r>
      <w:r>
        <w:rPr>
          <w:rFonts w:ascii="Tahoma" w:hAnsi="Tahoma" w:cs="Tahoma"/>
          <w:color w:val="000000"/>
          <w:sz w:val="26"/>
          <w:szCs w:val="26"/>
        </w:rPr>
        <w:t>14</w:t>
      </w:r>
      <w:r w:rsidRPr="008A6513">
        <w:rPr>
          <w:rFonts w:ascii="Tahoma" w:hAnsi="Tahoma" w:cs="Tahoma"/>
          <w:color w:val="000000"/>
          <w:sz w:val="26"/>
          <w:szCs w:val="26"/>
        </w:rPr>
        <w:t xml:space="preserve"> de </w:t>
      </w:r>
      <w:r>
        <w:rPr>
          <w:rFonts w:ascii="Tahoma" w:hAnsi="Tahoma" w:cs="Tahoma"/>
          <w:color w:val="000000"/>
          <w:sz w:val="26"/>
          <w:szCs w:val="26"/>
        </w:rPr>
        <w:t>Fevereiro de 2019</w:t>
      </w:r>
      <w:r w:rsidRPr="008A6513">
        <w:rPr>
          <w:rFonts w:ascii="Tahoma" w:hAnsi="Tahoma" w:cs="Tahoma"/>
          <w:color w:val="000000"/>
          <w:sz w:val="26"/>
          <w:szCs w:val="26"/>
        </w:rPr>
        <w:t>.</w:t>
      </w:r>
    </w:p>
    <w:p w:rsidR="007E2BD3" w:rsidRDefault="007E2BD3" w:rsidP="007E2BD3">
      <w:pPr>
        <w:tabs>
          <w:tab w:val="left" w:pos="-24383"/>
        </w:tabs>
        <w:ind w:left="-284" w:firstLine="1418"/>
        <w:jc w:val="both"/>
        <w:rPr>
          <w:rFonts w:ascii="Tahoma" w:hAnsi="Tahoma" w:cs="Tahoma"/>
          <w:color w:val="000000"/>
          <w:sz w:val="26"/>
          <w:szCs w:val="26"/>
        </w:rPr>
      </w:pPr>
      <w:r w:rsidRPr="004C1BAE">
        <w:rPr>
          <w:rFonts w:ascii="Tahoma" w:hAnsi="Tahoma" w:cs="Tahoma"/>
          <w:color w:val="000000"/>
          <w:sz w:val="26"/>
          <w:szCs w:val="26"/>
        </w:rPr>
        <w:t xml:space="preserve">                           </w:t>
      </w:r>
    </w:p>
    <w:p w:rsidR="007E2BD3" w:rsidRPr="00E748F4" w:rsidRDefault="007E2BD3" w:rsidP="007E2BD3">
      <w:pPr>
        <w:tabs>
          <w:tab w:val="left" w:pos="-24383"/>
        </w:tabs>
        <w:spacing w:line="240" w:lineRule="auto"/>
        <w:ind w:left="-284" w:firstLine="1418"/>
        <w:jc w:val="both"/>
        <w:rPr>
          <w:rFonts w:ascii="Tahoma" w:hAnsi="Tahoma" w:cs="Tahoma"/>
          <w:color w:val="000000"/>
          <w:sz w:val="26"/>
          <w:szCs w:val="26"/>
        </w:rPr>
      </w:pPr>
      <w:r w:rsidRPr="004C1BAE">
        <w:rPr>
          <w:rFonts w:ascii="Tahoma" w:hAnsi="Tahoma" w:cs="Tahoma"/>
          <w:color w:val="000000"/>
          <w:sz w:val="26"/>
          <w:szCs w:val="26"/>
        </w:rPr>
        <w:t xml:space="preserve">                        </w:t>
      </w:r>
    </w:p>
    <w:p w:rsidR="007E2BD3" w:rsidRPr="004C1BAE" w:rsidRDefault="007E2BD3" w:rsidP="007E2BD3">
      <w:pPr>
        <w:spacing w:line="360" w:lineRule="auto"/>
        <w:jc w:val="center"/>
        <w:rPr>
          <w:rFonts w:ascii="Tahoma" w:hAnsi="Tahoma" w:cs="Tahoma"/>
          <w:b/>
          <w:color w:val="000000"/>
          <w:sz w:val="26"/>
          <w:szCs w:val="26"/>
        </w:rPr>
      </w:pPr>
      <w:r w:rsidRPr="004C1BAE">
        <w:rPr>
          <w:rFonts w:ascii="Tahoma" w:hAnsi="Tahoma" w:cs="Tahoma"/>
          <w:b/>
          <w:color w:val="000000"/>
          <w:sz w:val="26"/>
          <w:szCs w:val="26"/>
        </w:rPr>
        <w:t>Carlos Macedo</w:t>
      </w:r>
    </w:p>
    <w:p w:rsidR="007E2BD3" w:rsidRPr="00E748F4" w:rsidRDefault="007E2BD3" w:rsidP="007E2BD3">
      <w:pPr>
        <w:spacing w:line="360" w:lineRule="auto"/>
        <w:jc w:val="center"/>
        <w:rPr>
          <w:rFonts w:ascii="Tahoma" w:hAnsi="Tahoma" w:cs="Tahoma"/>
          <w:b/>
          <w:i/>
          <w:color w:val="000000"/>
          <w:sz w:val="26"/>
          <w:szCs w:val="26"/>
        </w:rPr>
      </w:pPr>
      <w:r w:rsidRPr="004C1BAE">
        <w:rPr>
          <w:rFonts w:ascii="Tahoma" w:hAnsi="Tahoma" w:cs="Tahoma"/>
          <w:b/>
          <w:i/>
          <w:color w:val="000000"/>
          <w:sz w:val="26"/>
          <w:szCs w:val="26"/>
        </w:rPr>
        <w:t>Vereador</w:t>
      </w:r>
    </w:p>
    <w:p w:rsidR="007E2BD3" w:rsidRDefault="007E2BD3" w:rsidP="007E2BD3">
      <w:pPr>
        <w:jc w:val="both"/>
        <w:rPr>
          <w:rFonts w:ascii="Tahoma" w:hAnsi="Tahoma" w:cs="Tahoma"/>
          <w:b/>
          <w:color w:val="000000"/>
          <w:sz w:val="26"/>
          <w:szCs w:val="26"/>
        </w:rPr>
      </w:pPr>
    </w:p>
    <w:p w:rsidR="007E2BD3" w:rsidRDefault="007E2BD3" w:rsidP="007E2BD3">
      <w:pPr>
        <w:jc w:val="both"/>
        <w:rPr>
          <w:rFonts w:ascii="Tahoma" w:hAnsi="Tahoma" w:cs="Tahoma"/>
          <w:b/>
          <w:color w:val="000000"/>
          <w:sz w:val="26"/>
          <w:szCs w:val="26"/>
        </w:rPr>
      </w:pPr>
      <w:r w:rsidRPr="004C1BAE">
        <w:rPr>
          <w:rFonts w:ascii="Tahoma" w:hAnsi="Tahoma" w:cs="Tahoma"/>
          <w:b/>
          <w:color w:val="000000"/>
          <w:sz w:val="26"/>
          <w:szCs w:val="26"/>
        </w:rPr>
        <w:t xml:space="preserve">Justificativa: </w:t>
      </w:r>
    </w:p>
    <w:p w:rsidR="007E2BD3" w:rsidRDefault="007E2BD3" w:rsidP="007E2BD3">
      <w:pPr>
        <w:jc w:val="both"/>
        <w:rPr>
          <w:rFonts w:ascii="Tahoma" w:hAnsi="Tahoma" w:cs="Tahoma"/>
          <w:b/>
          <w:color w:val="000000"/>
          <w:sz w:val="26"/>
          <w:szCs w:val="26"/>
        </w:rPr>
      </w:pPr>
    </w:p>
    <w:p w:rsidR="007E2BD3" w:rsidRDefault="007E2BD3" w:rsidP="007E2BD3">
      <w:pPr>
        <w:jc w:val="both"/>
        <w:rPr>
          <w:rFonts w:ascii="Tahoma" w:hAnsi="Tahoma" w:cs="Tahoma"/>
          <w:sz w:val="26"/>
          <w:szCs w:val="26"/>
          <w:lang w:eastAsia="pt-BR"/>
        </w:rPr>
      </w:pPr>
      <w:r w:rsidRPr="00456596">
        <w:rPr>
          <w:rFonts w:ascii="Tahoma" w:hAnsi="Tahoma" w:cs="Tahoma"/>
          <w:sz w:val="26"/>
          <w:szCs w:val="26"/>
          <w:lang w:eastAsia="pt-BR"/>
        </w:rPr>
        <w:t>Com base nas leis municipais 2699/2010 e a lei 2986/2012, que criaram, instituíram e Tombaram Imaterialmente o Polo Turístico Caminho de Darwin, no bairro do Engenho do Mato, na AEIT – Área de Especial Interesse Turístico, prevista no PUR-RO/2002, na Serra da Tiririca, em seus aspectos Histórico, cultural, ambiental, geológico e urbanístico, o presente projeto de lei tem por finalidade, dar cumprimento ao que é previsto na lei de tombamento aprovada, referente à inclusão no calendário municipal de ações das secretarias envolvidas, para a promoção do fato histórico-cultural junto aos munícipes e da ciência/tecnologia e dos eixos transversais, junto às escolas e alunos do município, seja da rede pública ou privada. Assim como a promoção do ecoturismo e o turismo histórico-cultural, pela NELTUR, referente ao polo turístico aprovado e ao Caminho de Darwin e seus atrativos históricos e naturais existentes e sua inclusão no plano de trilhas do município.</w:t>
      </w:r>
    </w:p>
    <w:p w:rsidR="007E2BD3" w:rsidRDefault="007E2BD3" w:rsidP="007E2BD3">
      <w:pPr>
        <w:jc w:val="both"/>
        <w:rPr>
          <w:rFonts w:ascii="Tahoma" w:hAnsi="Tahoma" w:cs="Tahoma"/>
          <w:sz w:val="26"/>
          <w:szCs w:val="26"/>
          <w:lang w:eastAsia="pt-BR"/>
        </w:rPr>
      </w:pPr>
    </w:p>
    <w:p w:rsidR="007E2BD3" w:rsidRDefault="007E2BD3" w:rsidP="007E2BD3">
      <w:pPr>
        <w:jc w:val="both"/>
        <w:rPr>
          <w:rFonts w:ascii="Tahoma" w:hAnsi="Tahoma" w:cs="Tahoma"/>
          <w:sz w:val="26"/>
          <w:szCs w:val="26"/>
          <w:lang w:eastAsia="pt-BR"/>
        </w:rPr>
      </w:pPr>
      <w:r w:rsidRPr="00E748F4">
        <w:rPr>
          <w:rFonts w:ascii="Tahoma" w:hAnsi="Tahoma" w:cs="Tahoma"/>
          <w:sz w:val="26"/>
          <w:szCs w:val="26"/>
          <w:lang w:eastAsia="pt-BR"/>
        </w:rPr>
        <w:lastRenderedPageBreak/>
        <w:t>A Comissão de Educação da Câmara dos deputados aprovou proposta que permite a transferência de recursos adicionais do Programa Dinheiro Direto na Escola (PDDE), do Ministério da Educação, para a instalação, a melhoria e a manutenção de laboratórios de ciências em escolas públicas da rede pública de educação básica.</w:t>
      </w:r>
    </w:p>
    <w:p w:rsidR="007E2BD3" w:rsidRDefault="007E2BD3" w:rsidP="007E2BD3">
      <w:pPr>
        <w:jc w:val="both"/>
        <w:rPr>
          <w:rFonts w:ascii="Tahoma" w:hAnsi="Tahoma" w:cs="Tahoma"/>
          <w:sz w:val="26"/>
          <w:szCs w:val="26"/>
          <w:lang w:eastAsia="pt-BR"/>
        </w:rPr>
      </w:pPr>
    </w:p>
    <w:p w:rsidR="007E2BD3" w:rsidRPr="00E748F4" w:rsidRDefault="007E2BD3" w:rsidP="007E2BD3">
      <w:pPr>
        <w:pStyle w:val="Ttulo1"/>
        <w:jc w:val="both"/>
        <w:rPr>
          <w:rFonts w:ascii="Tahoma" w:hAnsi="Tahoma" w:cs="Tahoma"/>
          <w:b w:val="0"/>
          <w:color w:val="272727"/>
          <w:sz w:val="26"/>
          <w:szCs w:val="26"/>
        </w:rPr>
      </w:pPr>
      <w:r w:rsidRPr="00E748F4">
        <w:rPr>
          <w:rFonts w:ascii="Tahoma" w:hAnsi="Tahoma" w:cs="Tahoma"/>
          <w:b w:val="0"/>
          <w:color w:val="272727"/>
          <w:sz w:val="26"/>
          <w:szCs w:val="26"/>
        </w:rPr>
        <w:t>A Comissão de Educação da Câmara dos deputados aprovou proposta que permite a transferência de recursos adicionais do Programa Dinheiro Direto na Escola (PDDE), do Ministério da Educação, para a instalação, a melhoria e a manutenção de laboratórios de ciências em escolas públicas da rede pública de educação básica.</w:t>
      </w:r>
    </w:p>
    <w:p w:rsidR="007E2BD3" w:rsidRPr="00E748F4" w:rsidRDefault="003903E2" w:rsidP="007E2BD3">
      <w:pPr>
        <w:pStyle w:val="Ttulo1"/>
        <w:rPr>
          <w:rFonts w:ascii="Tahoma" w:hAnsi="Tahoma" w:cs="Tahoma"/>
          <w:b w:val="0"/>
          <w:color w:val="272727"/>
          <w:sz w:val="26"/>
          <w:szCs w:val="26"/>
        </w:rPr>
      </w:pPr>
      <w:hyperlink r:id="rId6" w:history="1">
        <w:r w:rsidR="007E2BD3" w:rsidRPr="00E748F4">
          <w:rPr>
            <w:rStyle w:val="Hyperlink"/>
            <w:rFonts w:ascii="Tahoma" w:hAnsi="Tahoma" w:cs="Tahoma"/>
            <w:b w:val="0"/>
            <w:sz w:val="26"/>
            <w:szCs w:val="26"/>
          </w:rPr>
          <w:t>http://www2.camara.leg.br/camaranoticias/noticias/EDUCACAO-E-CULTURA/522265-EDUCACAO-APROVA-INCENTIVO-PARA-ESCOLA-PUBLICA-QUE-IMPLANTAR-LABORATORIO-DE-CIENCIAS.html</w:t>
        </w:r>
      </w:hyperlink>
    </w:p>
    <w:p w:rsidR="007E2BD3" w:rsidRPr="00E748F4" w:rsidRDefault="007E2BD3" w:rsidP="007E2BD3">
      <w:pPr>
        <w:pStyle w:val="Ttulo1"/>
        <w:rPr>
          <w:rFonts w:ascii="Tahoma" w:hAnsi="Tahoma" w:cs="Tahoma"/>
          <w:b w:val="0"/>
          <w:color w:val="272727"/>
          <w:sz w:val="26"/>
          <w:szCs w:val="26"/>
        </w:rPr>
      </w:pPr>
      <w:r w:rsidRPr="00E748F4">
        <w:rPr>
          <w:rFonts w:ascii="Tahoma" w:hAnsi="Tahoma" w:cs="Tahoma"/>
          <w:b w:val="0"/>
          <w:color w:val="272727"/>
          <w:sz w:val="26"/>
          <w:szCs w:val="26"/>
        </w:rPr>
        <w:t xml:space="preserve">Lei Federal de Incentivo a Ciência e Tecnologia                                            </w:t>
      </w:r>
    </w:p>
    <w:p w:rsidR="007E2BD3" w:rsidRPr="00E748F4" w:rsidRDefault="007E2BD3" w:rsidP="007E2BD3">
      <w:pPr>
        <w:pStyle w:val="Ttulo1"/>
        <w:rPr>
          <w:rFonts w:ascii="Tahoma" w:hAnsi="Tahoma" w:cs="Tahoma"/>
          <w:b w:val="0"/>
          <w:color w:val="272727"/>
          <w:sz w:val="26"/>
          <w:szCs w:val="26"/>
        </w:rPr>
      </w:pPr>
      <w:r w:rsidRPr="00E748F4">
        <w:rPr>
          <w:rFonts w:ascii="Tahoma" w:hAnsi="Tahoma" w:cs="Tahoma"/>
          <w:b w:val="0"/>
          <w:color w:val="272727"/>
          <w:sz w:val="26"/>
          <w:szCs w:val="26"/>
        </w:rPr>
        <w:t xml:space="preserve">  </w:t>
      </w:r>
      <w:hyperlink r:id="rId7" w:history="1">
        <w:r w:rsidRPr="00E748F4">
          <w:rPr>
            <w:rStyle w:val="Hyperlink"/>
            <w:rFonts w:ascii="Tahoma" w:hAnsi="Tahoma" w:cs="Tahoma"/>
            <w:b w:val="0"/>
            <w:bCs w:val="0"/>
            <w:color w:val="000080"/>
            <w:sz w:val="26"/>
            <w:szCs w:val="26"/>
          </w:rPr>
          <w:t>LEI Nº 13.243, DE 11 DE JANEIRO DE 2016.</w:t>
        </w:r>
      </w:hyperlink>
      <w:r w:rsidRPr="00E748F4">
        <w:rPr>
          <w:rFonts w:ascii="Tahoma" w:hAnsi="Tahoma" w:cs="Tahoma"/>
          <w:sz w:val="26"/>
          <w:szCs w:val="26"/>
        </w:rPr>
        <w:t xml:space="preserve"> </w:t>
      </w:r>
    </w:p>
    <w:p w:rsidR="007E2BD3" w:rsidRPr="00E748F4" w:rsidRDefault="003903E2" w:rsidP="007E2BD3">
      <w:pPr>
        <w:pStyle w:val="Ttulo1"/>
        <w:rPr>
          <w:rFonts w:ascii="Tahoma" w:hAnsi="Tahoma" w:cs="Tahoma"/>
          <w:b w:val="0"/>
          <w:color w:val="272727"/>
          <w:sz w:val="26"/>
          <w:szCs w:val="26"/>
        </w:rPr>
      </w:pPr>
      <w:hyperlink r:id="rId8" w:history="1">
        <w:r w:rsidR="007E2BD3" w:rsidRPr="00E748F4">
          <w:rPr>
            <w:rStyle w:val="Hyperlink"/>
            <w:rFonts w:ascii="Tahoma" w:hAnsi="Tahoma" w:cs="Tahoma"/>
            <w:b w:val="0"/>
            <w:sz w:val="26"/>
            <w:szCs w:val="26"/>
          </w:rPr>
          <w:t>http://www.planalto.gov.br/ccivil_03/_Ato2015-2018/2016/Lei/L13243.htm</w:t>
        </w:r>
      </w:hyperlink>
    </w:p>
    <w:p w:rsidR="007E2BD3" w:rsidRPr="00E748F4" w:rsidRDefault="007E2BD3" w:rsidP="007E2BD3">
      <w:pPr>
        <w:pStyle w:val="Ttulo1"/>
        <w:rPr>
          <w:rFonts w:ascii="Tahoma" w:hAnsi="Tahoma" w:cs="Tahoma"/>
          <w:b w:val="0"/>
          <w:color w:val="333333"/>
          <w:sz w:val="26"/>
          <w:szCs w:val="26"/>
        </w:rPr>
      </w:pPr>
      <w:r w:rsidRPr="00E748F4">
        <w:rPr>
          <w:rFonts w:ascii="Tahoma" w:hAnsi="Tahoma" w:cs="Tahoma"/>
          <w:b w:val="0"/>
          <w:color w:val="272727"/>
          <w:sz w:val="26"/>
          <w:szCs w:val="26"/>
        </w:rPr>
        <w:t xml:space="preserve">Lei de Incentivo à Cultura de Niterói   - </w:t>
      </w:r>
      <w:r w:rsidRPr="00E748F4">
        <w:rPr>
          <w:rFonts w:ascii="Tahoma" w:hAnsi="Tahoma" w:cs="Tahoma"/>
          <w:b w:val="0"/>
          <w:color w:val="333333"/>
          <w:sz w:val="26"/>
          <w:szCs w:val="26"/>
        </w:rPr>
        <w:t xml:space="preserve"> Lei nº 3182 de 18/12/2015</w:t>
      </w:r>
    </w:p>
    <w:p w:rsidR="007E2BD3" w:rsidRPr="00E748F4" w:rsidRDefault="007E2BD3" w:rsidP="007E2BD3">
      <w:pPr>
        <w:spacing w:before="100" w:beforeAutospacing="1" w:after="100" w:afterAutospacing="1"/>
        <w:jc w:val="both"/>
        <w:rPr>
          <w:rFonts w:ascii="Tahoma" w:hAnsi="Tahoma" w:cs="Tahoma"/>
          <w:sz w:val="26"/>
          <w:szCs w:val="26"/>
        </w:rPr>
      </w:pPr>
      <w:r w:rsidRPr="00E748F4">
        <w:rPr>
          <w:rStyle w:val="nfase"/>
          <w:rFonts w:ascii="Tahoma" w:hAnsi="Tahoma" w:cs="Tahoma"/>
          <w:i w:val="0"/>
          <w:color w:val="000000"/>
          <w:sz w:val="26"/>
          <w:szCs w:val="26"/>
        </w:rPr>
        <w:t xml:space="preserve">      </w:t>
      </w:r>
      <w:r w:rsidRPr="00E748F4">
        <w:rPr>
          <w:rStyle w:val="Forte"/>
          <w:rFonts w:ascii="Tahoma" w:hAnsi="Tahoma" w:cs="Tahoma"/>
          <w:iCs/>
          <w:color w:val="000000"/>
          <w:sz w:val="26"/>
          <w:szCs w:val="26"/>
        </w:rPr>
        <w:t>Somam-se a estes motivos os seguintes fatos, a saber:</w:t>
      </w:r>
    </w:p>
    <w:p w:rsidR="007E2BD3" w:rsidRPr="00E748F4" w:rsidRDefault="007E2BD3" w:rsidP="007E2BD3">
      <w:pPr>
        <w:spacing w:before="100" w:beforeAutospacing="1" w:after="100" w:afterAutospacing="1"/>
        <w:ind w:left="720" w:hanging="360"/>
        <w:jc w:val="both"/>
        <w:rPr>
          <w:rFonts w:ascii="Tahoma" w:hAnsi="Tahoma" w:cs="Tahoma"/>
          <w:sz w:val="26"/>
          <w:szCs w:val="26"/>
        </w:rPr>
      </w:pPr>
      <w:r w:rsidRPr="00E748F4">
        <w:rPr>
          <w:rStyle w:val="nfase"/>
          <w:rFonts w:ascii="Tahoma" w:eastAsia="Tahoma" w:hAnsi="Tahoma" w:cs="Tahoma"/>
          <w:i w:val="0"/>
          <w:color w:val="000000"/>
          <w:sz w:val="26"/>
          <w:szCs w:val="26"/>
        </w:rPr>
        <w:t xml:space="preserve"> 1.     </w:t>
      </w:r>
      <w:r w:rsidRPr="00E748F4">
        <w:rPr>
          <w:rStyle w:val="nfase"/>
          <w:rFonts w:ascii="Tahoma" w:hAnsi="Tahoma" w:cs="Tahoma"/>
          <w:i w:val="0"/>
          <w:color w:val="000000"/>
          <w:sz w:val="26"/>
          <w:szCs w:val="26"/>
        </w:rPr>
        <w:t>A recente cri</w:t>
      </w:r>
      <w:r>
        <w:rPr>
          <w:rStyle w:val="nfase"/>
          <w:rFonts w:ascii="Tahoma" w:hAnsi="Tahoma" w:cs="Tahoma"/>
          <w:i w:val="0"/>
          <w:color w:val="000000"/>
          <w:sz w:val="26"/>
          <w:szCs w:val="26"/>
        </w:rPr>
        <w:t>a</w:t>
      </w:r>
      <w:r w:rsidRPr="00E748F4">
        <w:rPr>
          <w:rStyle w:val="nfase"/>
          <w:rFonts w:ascii="Tahoma" w:hAnsi="Tahoma" w:cs="Tahoma"/>
          <w:i w:val="0"/>
          <w:color w:val="000000"/>
          <w:sz w:val="26"/>
          <w:szCs w:val="26"/>
        </w:rPr>
        <w:t>ção da ROTA D</w:t>
      </w:r>
      <w:r>
        <w:rPr>
          <w:rStyle w:val="nfase"/>
          <w:rFonts w:ascii="Tahoma" w:hAnsi="Tahoma" w:cs="Tahoma"/>
          <w:i w:val="0"/>
          <w:color w:val="000000"/>
          <w:sz w:val="26"/>
          <w:szCs w:val="26"/>
        </w:rPr>
        <w:t>ARWIN</w:t>
      </w:r>
      <w:r w:rsidRPr="00E748F4">
        <w:rPr>
          <w:rStyle w:val="nfase"/>
          <w:rFonts w:ascii="Tahoma" w:hAnsi="Tahoma" w:cs="Tahoma"/>
          <w:i w:val="0"/>
          <w:color w:val="000000"/>
          <w:sz w:val="26"/>
          <w:szCs w:val="26"/>
        </w:rPr>
        <w:t xml:space="preserve"> pelo governo Federal, a existência de um Caminho Geológico demarcado pelo DRM-RJ, que inclui a cidade de Niterói e mais especificamente o trajeto hoje conhecido como Caminho de Darwin, na AEIT - PUR-RO/2002.</w:t>
      </w:r>
    </w:p>
    <w:p w:rsidR="007E2BD3" w:rsidRPr="00E748F4" w:rsidRDefault="007E2BD3" w:rsidP="007E2BD3">
      <w:pPr>
        <w:spacing w:before="100" w:beforeAutospacing="1" w:after="100" w:afterAutospacing="1"/>
        <w:ind w:left="720" w:hanging="360"/>
        <w:jc w:val="both"/>
        <w:rPr>
          <w:rFonts w:ascii="Tahoma" w:hAnsi="Tahoma" w:cs="Tahoma"/>
          <w:sz w:val="26"/>
          <w:szCs w:val="26"/>
        </w:rPr>
      </w:pPr>
      <w:r w:rsidRPr="00E748F4">
        <w:rPr>
          <w:rStyle w:val="apple-style-span"/>
          <w:rFonts w:ascii="Tahoma" w:eastAsia="Tahoma" w:hAnsi="Tahoma" w:cs="Tahoma"/>
          <w:iCs/>
          <w:color w:val="000000"/>
          <w:sz w:val="26"/>
          <w:szCs w:val="26"/>
        </w:rPr>
        <w:t xml:space="preserve">3.     </w:t>
      </w:r>
      <w:r w:rsidRPr="00E748F4">
        <w:rPr>
          <w:rStyle w:val="apple-style-span"/>
          <w:rFonts w:ascii="Tahoma" w:hAnsi="Tahoma" w:cs="Tahoma"/>
          <w:color w:val="000000"/>
          <w:sz w:val="26"/>
          <w:szCs w:val="26"/>
          <w:shd w:val="clear" w:color="auto" w:fill="FFFFFF"/>
        </w:rPr>
        <w:t>Devido a sua relevância cultural e científica, o Parque Estadual da Serra da Tiririca foi declarado como parte integrante da Reserva da Biosfera da Mata Atlântica pela UNESCO em 1992, ato reconhecido pelo Governo Estadual através da portaria IEF/RJ n° 14, de 29 de dezembro de 1994.</w:t>
      </w:r>
    </w:p>
    <w:p w:rsidR="007E2BD3" w:rsidRPr="00E748F4" w:rsidRDefault="007E2BD3" w:rsidP="007E2BD3">
      <w:pPr>
        <w:spacing w:before="100" w:beforeAutospacing="1" w:after="100" w:afterAutospacing="1"/>
        <w:ind w:left="720" w:hanging="360"/>
        <w:jc w:val="both"/>
        <w:rPr>
          <w:rFonts w:ascii="Tahoma" w:hAnsi="Tahoma" w:cs="Tahoma"/>
          <w:sz w:val="26"/>
          <w:szCs w:val="26"/>
        </w:rPr>
      </w:pPr>
      <w:r w:rsidRPr="00E748F4">
        <w:rPr>
          <w:rStyle w:val="nfase"/>
          <w:rFonts w:ascii="Tahoma" w:eastAsia="Tahoma" w:hAnsi="Tahoma" w:cs="Tahoma"/>
          <w:i w:val="0"/>
          <w:color w:val="000000"/>
          <w:sz w:val="26"/>
          <w:szCs w:val="26"/>
        </w:rPr>
        <w:lastRenderedPageBreak/>
        <w:t xml:space="preserve">4.     </w:t>
      </w:r>
      <w:r w:rsidRPr="00E748F4">
        <w:rPr>
          <w:rStyle w:val="apple-style-span"/>
          <w:rFonts w:ascii="Tahoma" w:hAnsi="Tahoma" w:cs="Tahoma"/>
          <w:color w:val="000000"/>
          <w:sz w:val="26"/>
          <w:szCs w:val="26"/>
          <w:shd w:val="clear" w:color="auto" w:fill="FFFFFF"/>
        </w:rPr>
        <w:t>Lei Orgânica de Niterói, em seu artigo 323, inciso I, declarou a Serra da Tiririca como Área de Preservação Permanente. Logo, atendendo às reivindicações de ambientalistas, o Prefeito Jorge Roberto Silveira, através do decreto municipal 5902/90, reconheceu igual status ao conjunto florestal dentro do município de Niterói.</w:t>
      </w:r>
    </w:p>
    <w:p w:rsidR="007E2BD3" w:rsidRPr="00E748F4" w:rsidRDefault="007E2BD3" w:rsidP="007E2BD3">
      <w:pPr>
        <w:spacing w:before="100" w:beforeAutospacing="1" w:after="100" w:afterAutospacing="1"/>
        <w:ind w:left="720" w:hanging="360"/>
        <w:jc w:val="both"/>
        <w:rPr>
          <w:rFonts w:ascii="Tahoma" w:hAnsi="Tahoma" w:cs="Tahoma"/>
          <w:sz w:val="26"/>
          <w:szCs w:val="26"/>
        </w:rPr>
      </w:pPr>
      <w:r w:rsidRPr="00E748F4">
        <w:rPr>
          <w:rStyle w:val="apple-style-span"/>
          <w:rFonts w:ascii="Tahoma" w:eastAsia="Tahoma" w:hAnsi="Tahoma" w:cs="Tahoma"/>
          <w:iCs/>
          <w:color w:val="000000"/>
          <w:sz w:val="26"/>
          <w:szCs w:val="26"/>
        </w:rPr>
        <w:t xml:space="preserve">5.     </w:t>
      </w:r>
      <w:r w:rsidRPr="00E748F4">
        <w:rPr>
          <w:rStyle w:val="nfase"/>
          <w:rFonts w:ascii="Tahoma" w:hAnsi="Tahoma" w:cs="Tahoma"/>
          <w:i w:val="0"/>
          <w:color w:val="000000"/>
          <w:sz w:val="26"/>
          <w:szCs w:val="26"/>
        </w:rPr>
        <w:t xml:space="preserve">Tombamento da Mata Atlântica pelo Governo do Estado conforme </w:t>
      </w:r>
      <w:r w:rsidRPr="00E748F4">
        <w:rPr>
          <w:rStyle w:val="apple-style-span"/>
          <w:rFonts w:ascii="Tahoma" w:hAnsi="Tahoma" w:cs="Tahoma"/>
          <w:color w:val="000000"/>
          <w:sz w:val="26"/>
          <w:szCs w:val="26"/>
          <w:shd w:val="clear" w:color="auto" w:fill="FFFFFF"/>
        </w:rPr>
        <w:t>Mapa do tombamento da Serra do Mar/Mata Atlântica de 1991 pelo então IEF - Instituto Estadual de Florestas. Incluindo os mosaicos costeiros.</w:t>
      </w:r>
    </w:p>
    <w:p w:rsidR="007E2BD3" w:rsidRPr="00E748F4" w:rsidRDefault="007E2BD3" w:rsidP="007E2BD3">
      <w:pPr>
        <w:spacing w:before="100" w:beforeAutospacing="1" w:after="100" w:afterAutospacing="1"/>
        <w:ind w:left="720" w:hanging="360"/>
        <w:jc w:val="both"/>
        <w:rPr>
          <w:rFonts w:ascii="Tahoma" w:hAnsi="Tahoma" w:cs="Tahoma"/>
          <w:sz w:val="26"/>
          <w:szCs w:val="26"/>
        </w:rPr>
      </w:pPr>
      <w:r w:rsidRPr="00E748F4">
        <w:rPr>
          <w:rFonts w:ascii="Tahoma" w:eastAsia="Tahoma" w:hAnsi="Tahoma" w:cs="Tahoma"/>
          <w:color w:val="000000"/>
          <w:sz w:val="26"/>
          <w:szCs w:val="26"/>
        </w:rPr>
        <w:t xml:space="preserve">6.     </w:t>
      </w:r>
      <w:r w:rsidRPr="00E748F4">
        <w:rPr>
          <w:rStyle w:val="nfase"/>
          <w:rFonts w:ascii="Tahoma" w:hAnsi="Tahoma" w:cs="Tahoma"/>
          <w:i w:val="0"/>
          <w:color w:val="000000"/>
          <w:sz w:val="26"/>
          <w:szCs w:val="26"/>
        </w:rPr>
        <w:t xml:space="preserve">O Engenho do Mato é palco de diversos contextos históricos, seja como a área que produziu alimentos para a capital até meados do século XX, palco do 1º Plano de assentamento agrário do País e um dos últimos lugares rurais da cidade, tendo sido alterado por decreto em 1997.    </w:t>
      </w:r>
    </w:p>
    <w:p w:rsidR="007E2BD3" w:rsidRPr="00E748F4" w:rsidRDefault="007E2BD3" w:rsidP="007E2BD3">
      <w:pPr>
        <w:spacing w:before="100" w:beforeAutospacing="1" w:after="100" w:afterAutospacing="1"/>
        <w:ind w:left="720" w:hanging="360"/>
        <w:jc w:val="both"/>
        <w:rPr>
          <w:rFonts w:ascii="Tahoma" w:hAnsi="Tahoma" w:cs="Tahoma"/>
          <w:sz w:val="26"/>
          <w:szCs w:val="26"/>
        </w:rPr>
      </w:pPr>
      <w:r w:rsidRPr="00E748F4">
        <w:rPr>
          <w:rStyle w:val="nfase"/>
          <w:rFonts w:ascii="Tahoma" w:eastAsia="Tahoma" w:hAnsi="Tahoma" w:cs="Tahoma"/>
          <w:i w:val="0"/>
          <w:color w:val="000000"/>
          <w:sz w:val="26"/>
          <w:szCs w:val="26"/>
        </w:rPr>
        <w:t xml:space="preserve">10.  </w:t>
      </w:r>
      <w:r w:rsidRPr="00E748F4">
        <w:rPr>
          <w:rStyle w:val="nfase"/>
          <w:rFonts w:ascii="Tahoma" w:hAnsi="Tahoma" w:cs="Tahoma"/>
          <w:i w:val="0"/>
          <w:color w:val="000000"/>
          <w:sz w:val="26"/>
          <w:szCs w:val="26"/>
        </w:rPr>
        <w:t xml:space="preserve">Criação de um ambiente favorável à implantação de polo Turístico, com vistas à conscientização e educação ambiental, promoção da ciência e tecnologia, área de apoio pedagógico às escolas e universidades tanto da cidade quanto de fora mediante seu contato </w:t>
      </w:r>
      <w:r w:rsidRPr="00E748F4">
        <w:rPr>
          <w:rStyle w:val="nfase"/>
          <w:rFonts w:ascii="Tahoma" w:hAnsi="Tahoma" w:cs="Tahoma"/>
          <w:color w:val="000000"/>
          <w:sz w:val="26"/>
          <w:szCs w:val="26"/>
        </w:rPr>
        <w:t>in loco</w:t>
      </w:r>
      <w:r w:rsidRPr="00E748F4">
        <w:rPr>
          <w:rStyle w:val="nfase"/>
          <w:rFonts w:ascii="Tahoma" w:hAnsi="Tahoma" w:cs="Tahoma"/>
          <w:i w:val="0"/>
          <w:color w:val="000000"/>
          <w:sz w:val="26"/>
          <w:szCs w:val="26"/>
        </w:rPr>
        <w:t xml:space="preserve"> com o ambiente natural, cultural, histórico e ecológico.</w:t>
      </w:r>
    </w:p>
    <w:p w:rsidR="007E2BD3" w:rsidRPr="004C1BAE" w:rsidRDefault="007E2BD3" w:rsidP="007E2BD3">
      <w:pPr>
        <w:jc w:val="both"/>
        <w:rPr>
          <w:rFonts w:ascii="Tahoma" w:hAnsi="Tahoma" w:cs="Tahoma"/>
          <w:sz w:val="26"/>
          <w:szCs w:val="26"/>
          <w:lang w:eastAsia="pt-BR"/>
        </w:rPr>
      </w:pPr>
    </w:p>
    <w:p w:rsidR="007E2BD3" w:rsidRPr="00694B49" w:rsidRDefault="007E2BD3" w:rsidP="007E2BD3">
      <w:pPr>
        <w:spacing w:line="360" w:lineRule="auto"/>
        <w:jc w:val="both"/>
        <w:rPr>
          <w:rFonts w:ascii="Tahoma" w:hAnsi="Tahoma" w:cs="Tahoma"/>
          <w:color w:val="000000"/>
        </w:rPr>
      </w:pPr>
    </w:p>
    <w:p w:rsidR="007E2BD3" w:rsidRDefault="007E2BD3" w:rsidP="007E2BD3">
      <w:pPr>
        <w:rPr>
          <w:noProof/>
          <w:lang w:eastAsia="pt-BR"/>
        </w:rPr>
      </w:pPr>
    </w:p>
    <w:p w:rsidR="007E2BD3" w:rsidRDefault="007E2BD3" w:rsidP="007E2BD3">
      <w:pPr>
        <w:rPr>
          <w:noProof/>
          <w:lang w:eastAsia="pt-BR"/>
        </w:rPr>
      </w:pPr>
    </w:p>
    <w:p w:rsidR="007E2BD3" w:rsidRDefault="007E2BD3" w:rsidP="007E2BD3"/>
    <w:p w:rsidR="00871815" w:rsidRDefault="00871815" w:rsidP="007E2BD3">
      <w:pPr>
        <w:ind w:right="-568"/>
      </w:pPr>
    </w:p>
    <w:sectPr w:rsidR="00871815" w:rsidSect="00AE6B6C">
      <w:headerReference w:type="default" r:id="rId9"/>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03E2" w:rsidRDefault="003903E2">
      <w:pPr>
        <w:spacing w:after="0" w:line="240" w:lineRule="auto"/>
      </w:pPr>
      <w:r>
        <w:separator/>
      </w:r>
    </w:p>
  </w:endnote>
  <w:endnote w:type="continuationSeparator" w:id="0">
    <w:p w:rsidR="003903E2" w:rsidRDefault="00390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03E2" w:rsidRDefault="003903E2">
      <w:pPr>
        <w:spacing w:after="0" w:line="240" w:lineRule="auto"/>
      </w:pPr>
      <w:r>
        <w:separator/>
      </w:r>
    </w:p>
  </w:footnote>
  <w:footnote w:type="continuationSeparator" w:id="0">
    <w:p w:rsidR="003903E2" w:rsidRDefault="003903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6F50" w:rsidRDefault="007E2BD3" w:rsidP="00F36F50">
    <w:pPr>
      <w:pStyle w:val="Ttulo"/>
      <w:tabs>
        <w:tab w:val="left" w:pos="2930"/>
        <w:tab w:val="center" w:pos="4702"/>
      </w:tabs>
      <w:rPr>
        <w:b w:val="0"/>
        <w:bCs w:val="0"/>
        <w:i w:val="0"/>
        <w:iCs w:val="0"/>
        <w:sz w:val="28"/>
        <w:szCs w:val="28"/>
      </w:rPr>
    </w:pPr>
    <w:r>
      <w:rPr>
        <w:noProof/>
        <w:lang w:eastAsia="pt-BR"/>
      </w:rPr>
      <w:drawing>
        <wp:inline distT="0" distB="0" distL="0" distR="0" wp14:anchorId="78305B44" wp14:editId="722A2CA5">
          <wp:extent cx="704850" cy="848697"/>
          <wp:effectExtent l="0" t="0" r="0" b="889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221" cy="861184"/>
                  </a:xfrm>
                  <a:prstGeom prst="rect">
                    <a:avLst/>
                  </a:prstGeom>
                  <a:solidFill>
                    <a:srgbClr val="FFFFFF"/>
                  </a:solidFill>
                  <a:ln>
                    <a:noFill/>
                  </a:ln>
                </pic:spPr>
              </pic:pic>
            </a:graphicData>
          </a:graphic>
        </wp:inline>
      </w:drawing>
    </w:r>
  </w:p>
  <w:tbl>
    <w:tblPr>
      <w:tblW w:w="0" w:type="auto"/>
      <w:tblLayout w:type="fixed"/>
      <w:tblLook w:val="0000" w:firstRow="0" w:lastRow="0" w:firstColumn="0" w:lastColumn="0" w:noHBand="0" w:noVBand="0"/>
    </w:tblPr>
    <w:tblGrid>
      <w:gridCol w:w="7994"/>
    </w:tblGrid>
    <w:tr w:rsidR="00F36F50" w:rsidTr="00F36F50">
      <w:trPr>
        <w:trHeight w:val="700"/>
      </w:trPr>
      <w:tc>
        <w:tcPr>
          <w:tcW w:w="7994" w:type="dxa"/>
        </w:tcPr>
        <w:p w:rsidR="00F36F50" w:rsidRDefault="003903E2" w:rsidP="00F36F50">
          <w:pPr>
            <w:pStyle w:val="Cabealho"/>
            <w:jc w:val="center"/>
            <w:rPr>
              <w:rFonts w:ascii="Arial" w:hAnsi="Arial" w:cs="Arial"/>
            </w:rPr>
          </w:pPr>
        </w:p>
        <w:p w:rsidR="00F36F50" w:rsidRPr="00E748F4" w:rsidRDefault="007E2BD3" w:rsidP="00F36F50">
          <w:pPr>
            <w:pStyle w:val="Cabealho"/>
            <w:jc w:val="center"/>
            <w:rPr>
              <w:rFonts w:ascii="Tahoma" w:hAnsi="Tahoma" w:cs="Tahoma"/>
              <w:b/>
              <w:bCs/>
              <w:sz w:val="32"/>
              <w:szCs w:val="32"/>
            </w:rPr>
          </w:pPr>
          <w:r>
            <w:rPr>
              <w:rFonts w:ascii="Tahoma" w:hAnsi="Tahoma" w:cs="Tahoma"/>
              <w:b/>
              <w:bCs/>
              <w:sz w:val="48"/>
              <w:szCs w:val="48"/>
            </w:rPr>
            <w:t xml:space="preserve">   </w:t>
          </w:r>
          <w:r w:rsidRPr="00E748F4">
            <w:rPr>
              <w:rFonts w:ascii="Tahoma" w:hAnsi="Tahoma" w:cs="Tahoma"/>
              <w:b/>
              <w:bCs/>
              <w:sz w:val="32"/>
              <w:szCs w:val="32"/>
            </w:rPr>
            <w:t>Câmara Municipal de Niterói</w:t>
          </w:r>
        </w:p>
        <w:p w:rsidR="00F36F50" w:rsidRPr="00E748F4" w:rsidRDefault="003903E2" w:rsidP="00F36F50">
          <w:pPr>
            <w:pStyle w:val="Cabealho"/>
            <w:jc w:val="center"/>
            <w:rPr>
              <w:rFonts w:ascii="Tahoma" w:hAnsi="Tahoma" w:cs="Tahoma"/>
              <w:sz w:val="32"/>
              <w:szCs w:val="32"/>
            </w:rPr>
          </w:pPr>
        </w:p>
        <w:p w:rsidR="00F36F50" w:rsidRDefault="007E2BD3" w:rsidP="00E748F4">
          <w:pPr>
            <w:pStyle w:val="Cabealho"/>
            <w:jc w:val="center"/>
            <w:rPr>
              <w:rFonts w:ascii="Tahoma" w:hAnsi="Tahoma" w:cs="Tahoma"/>
              <w:b/>
              <w:bCs/>
              <w:sz w:val="28"/>
              <w:szCs w:val="28"/>
            </w:rPr>
          </w:pPr>
          <w:r w:rsidRPr="00E748F4">
            <w:rPr>
              <w:rFonts w:ascii="Tahoma" w:hAnsi="Tahoma" w:cs="Tahoma"/>
              <w:b/>
              <w:bCs/>
              <w:sz w:val="32"/>
              <w:szCs w:val="32"/>
            </w:rPr>
            <w:t xml:space="preserve">      Gabinete Vereador Carlos Macedo</w:t>
          </w:r>
        </w:p>
      </w:tc>
    </w:tr>
  </w:tbl>
  <w:p w:rsidR="00F36F50" w:rsidRDefault="007E2BD3">
    <w:pPr>
      <w:pStyle w:val="Cabealho"/>
    </w:pPr>
    <w:r>
      <w:ptab w:relativeTo="margin" w:alignment="center" w:leader="none"/>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BD3"/>
    <w:rsid w:val="003903E2"/>
    <w:rsid w:val="007E2BD3"/>
    <w:rsid w:val="00871815"/>
    <w:rsid w:val="00B50D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95CBC7-747C-46B7-8D1C-778B1D734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qFormat/>
    <w:rsid w:val="007E2BD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E2BD3"/>
    <w:rPr>
      <w:rFonts w:ascii="Times New Roman" w:eastAsia="Times New Roman" w:hAnsi="Times New Roman" w:cs="Times New Roman"/>
      <w:b/>
      <w:bCs/>
      <w:kern w:val="36"/>
      <w:sz w:val="48"/>
      <w:szCs w:val="48"/>
      <w:lang w:eastAsia="pt-BR"/>
    </w:rPr>
  </w:style>
  <w:style w:type="paragraph" w:styleId="Cabealho">
    <w:name w:val="header"/>
    <w:basedOn w:val="Normal"/>
    <w:link w:val="CabealhoChar"/>
    <w:unhideWhenUsed/>
    <w:rsid w:val="007E2BD3"/>
    <w:pPr>
      <w:tabs>
        <w:tab w:val="center" w:pos="4252"/>
        <w:tab w:val="right" w:pos="8504"/>
      </w:tabs>
      <w:spacing w:after="0" w:line="240" w:lineRule="auto"/>
    </w:pPr>
  </w:style>
  <w:style w:type="character" w:customStyle="1" w:styleId="CabealhoChar">
    <w:name w:val="Cabeçalho Char"/>
    <w:basedOn w:val="Fontepargpadro"/>
    <w:link w:val="Cabealho"/>
    <w:rsid w:val="007E2BD3"/>
  </w:style>
  <w:style w:type="paragraph" w:styleId="Ttulo">
    <w:name w:val="Title"/>
    <w:basedOn w:val="Normal"/>
    <w:next w:val="Normal"/>
    <w:link w:val="TtuloChar"/>
    <w:qFormat/>
    <w:rsid w:val="007E2BD3"/>
    <w:pPr>
      <w:suppressAutoHyphens/>
      <w:spacing w:after="0" w:line="240" w:lineRule="auto"/>
      <w:jc w:val="center"/>
    </w:pPr>
    <w:rPr>
      <w:rFonts w:ascii="Times New Roman" w:eastAsia="Times New Roman" w:hAnsi="Times New Roman" w:cs="Times New Roman"/>
      <w:b/>
      <w:bCs/>
      <w:i/>
      <w:iCs/>
      <w:sz w:val="20"/>
      <w:szCs w:val="20"/>
      <w:lang w:eastAsia="ar-SA"/>
    </w:rPr>
  </w:style>
  <w:style w:type="character" w:customStyle="1" w:styleId="TtuloChar">
    <w:name w:val="Título Char"/>
    <w:basedOn w:val="Fontepargpadro"/>
    <w:link w:val="Ttulo"/>
    <w:rsid w:val="007E2BD3"/>
    <w:rPr>
      <w:rFonts w:ascii="Times New Roman" w:eastAsia="Times New Roman" w:hAnsi="Times New Roman" w:cs="Times New Roman"/>
      <w:b/>
      <w:bCs/>
      <w:i/>
      <w:iCs/>
      <w:sz w:val="20"/>
      <w:szCs w:val="20"/>
      <w:lang w:eastAsia="ar-SA"/>
    </w:rPr>
  </w:style>
  <w:style w:type="paragraph" w:styleId="Recuodecorpodetexto">
    <w:name w:val="Body Text Indent"/>
    <w:basedOn w:val="Normal"/>
    <w:link w:val="RecuodecorpodetextoChar"/>
    <w:rsid w:val="007E2BD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7E2BD3"/>
    <w:rPr>
      <w:rFonts w:ascii="Times New Roman" w:eastAsia="Times New Roman" w:hAnsi="Times New Roman" w:cs="Times New Roman"/>
      <w:sz w:val="24"/>
      <w:szCs w:val="24"/>
      <w:lang w:eastAsia="pt-BR"/>
    </w:rPr>
  </w:style>
  <w:style w:type="character" w:styleId="nfase">
    <w:name w:val="Emphasis"/>
    <w:uiPriority w:val="20"/>
    <w:qFormat/>
    <w:rsid w:val="007E2BD3"/>
    <w:rPr>
      <w:i/>
      <w:iCs/>
    </w:rPr>
  </w:style>
  <w:style w:type="character" w:styleId="Forte">
    <w:name w:val="Strong"/>
    <w:qFormat/>
    <w:rsid w:val="007E2BD3"/>
    <w:rPr>
      <w:b/>
      <w:bCs/>
    </w:rPr>
  </w:style>
  <w:style w:type="character" w:customStyle="1" w:styleId="apple-style-span">
    <w:name w:val="apple-style-span"/>
    <w:basedOn w:val="Fontepargpadro"/>
    <w:rsid w:val="007E2BD3"/>
  </w:style>
  <w:style w:type="character" w:styleId="Hyperlink">
    <w:name w:val="Hyperlink"/>
    <w:rsid w:val="007E2BD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5-2018/2016/Lei/L13243.htm" TargetMode="External"/><Relationship Id="rId3" Type="http://schemas.openxmlformats.org/officeDocument/2006/relationships/webSettings" Target="webSettings.xml"/><Relationship Id="rId7" Type="http://schemas.openxmlformats.org/officeDocument/2006/relationships/hyperlink" Target="http://legislacao.planalto.gov.br/legisla/legislacao.nsf/Viw_Identificacao/lei%2013.243-2016?OpenDocu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2.camara.leg.br/camaranoticias/noticias/EDUCACAO-E-CULTURA/522265-EDUCACAO-APROVA-INCENTIVO-PARA-ESCOLA-PUBLICA-QUE-IMPLANTAR-LABORATORIO-DE-CIENCIAS.htm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969</Words>
  <Characters>5236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Vereador Macedo</dc:creator>
  <cp:keywords/>
  <dc:description/>
  <cp:lastModifiedBy>Vereador Macedo</cp:lastModifiedBy>
  <cp:revision>2</cp:revision>
  <dcterms:created xsi:type="dcterms:W3CDTF">2019-02-13T19:26:00Z</dcterms:created>
  <dcterms:modified xsi:type="dcterms:W3CDTF">2019-02-19T15:31:00Z</dcterms:modified>
</cp:coreProperties>
</file>