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00007/2019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Prefeito, informações sobre aspectos do Projeto de Lei que “Dispõe sobre as Diretrizes Orçamentárias para o Exercício Financeiro de 2019 e dá outras providências” para esclarecimento e detalhamento de quais os denominados riscos fiscais referenciados no Anexo de Riscos Fiscais aludidos no referido Projeto de Lei, bem como quais os critérios estatísticos para o estabelecimento das referidas provisões.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e detalhar quais os denominados riscos fiscais referenciados no Anexo de Riscos Fiscais aludidos no referido Projeto de Lei, bem como quais os critérios estatísticos para o estabelecimento das referidas provisões.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Trata-se de Projeto de Lei, que tem por finalidade dispor sobre as “Diretrizes Orçamentárias para o Exercício financeiro de 2019 e dá outras providências” com fundamento no artigo 130 da Lei Orgânica do Município de Niterói, estabelecendo as metas e as prioridades da Administração para o próximo 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diapasão, fazem-se necessários alguns esclarecimentos por parte dessa administração, para que o entendimento acerca de questões relevantes para o bom andamento da previsão e execução orçamentária deste Município sejam assegurados.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Feitas estas considerações introdutórias, 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o relevante interesse da sociedade do qual se revestem as Leis relativas aos Orçamentos Públicos.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a competência fiscalizadora desta Câmara de Vereadores.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