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00006/2019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Prefeito, informações sobre aspectos do Projeto de Lei que “Dispõe sobre as Diretrizes Orçamentárias para o Exercício Financeiro de 2019 e dá outras providências” para esclarecer e detalhar a razão pela qual o resultado primário das contas públicas deve se reduzir ao longo do triênio 2019 - 2021.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e detalhar a razão pela qual o resultado primário das contas públicas deve se reduzir ao longo do triênio 2019 - 2021.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Trata-se de Projeto de Lei, que tem por finalidade dispor sobre as “Diretrizes Orçamentárias para o Exercício financeiro de 2019 e dá outras providências” com fundamento no artigo 130 da Lei Orgânica do Município de Niterói, estabelecendo as metas e as prioridades da Administração para o próximo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Nesse diapasão, fazem-se necessários alguns esclarecimentos por parte dessa administração, para que o entendimento acerca de questões relevantes para o bom andamento da previsão e execução orçamentária deste Município sejam assegurados.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Feitas estas considerações introdutórias, e: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o relevante interesse da sociedade do qual se revestem as Leis relativas aos Orçamentos Públicos.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a competência fiscalizadora desta Câmara de Vereadores.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