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00003/2019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Prefeito, informações sobre aspectos do Projeto de Lei que “Dispõe sobre as Diretrizes Orçamentárias para o Exercício Financeiro de 2019 e dá outras providências” para esclarecer e detalhar os valores relativos aos gastos referenciados no Art. 14, incisos I a IV, bem como um comparativo entre as metas físicas previstas e realizadas ao final do exercício e ainda o detalhamento do sistema gerencial referenciado no mesmo artigo.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e detalhar os valores relativos aos gastos referenciados no Art. 14, incisos I a IV, bem como um comparativo entre as metas físicas previstas e realizadas ao final do exercício e ainda o detalhamento do sistema gerencial referenciado no mesmo artigo.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Trata-se de Projeto de Lei, que tem por finalidade dispor sobre as “Diretrizes Orçamentárias para o Exercício financeiro de 2019 e dá outras providências“com fundamento no artigo 130 da Lei Orgânica do Município de Niterói, estabelecendo as metas e as prioridades da Administração para o próximo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fazem-se necessários alguns esclarecimentos por parte dessa administração, para que o entendimento acerca de questões relevantes para o bom andamento da previsão e execução orçamentária deste Município sejam assegurados.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Feitas estas considerações introdutórias, 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relevante interesse da sociedade do qual se revestem as Leis relativas aos Orçamentos Públicos.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a competência fiscalizadora desta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