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a liberação de publicidade do tipo “Back Light e Front Light” utilizados pelo comércio no âmbito da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a publicidade do tipo “Back Light e Front Light” utilizados pelo comércio no âmbito do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